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BA" w:rsidRDefault="003F62BA"/>
    <w:tbl>
      <w:tblPr>
        <w:tblpPr w:leftFromText="180" w:rightFromText="180" w:vertAnchor="page" w:horzAnchor="page" w:tblpX="148" w:tblpY="736"/>
        <w:tblW w:w="0" w:type="auto"/>
        <w:tblLayout w:type="fixed"/>
        <w:tblLook w:val="0000" w:firstRow="0" w:lastRow="0" w:firstColumn="0" w:lastColumn="0" w:noHBand="0" w:noVBand="0"/>
      </w:tblPr>
      <w:tblGrid>
        <w:gridCol w:w="6393"/>
        <w:gridCol w:w="828"/>
      </w:tblGrid>
      <w:tr w:rsidR="003F62BA" w:rsidRPr="007F7F70" w:rsidTr="003F62BA">
        <w:trPr>
          <w:gridAfter w:val="1"/>
          <w:wAfter w:w="828" w:type="dxa"/>
          <w:trHeight w:val="1427"/>
        </w:trPr>
        <w:tc>
          <w:tcPr>
            <w:tcW w:w="6393" w:type="dxa"/>
            <w:shd w:val="clear" w:color="auto" w:fill="auto"/>
          </w:tcPr>
          <w:p w:rsidR="003F62BA" w:rsidRPr="003F62BA" w:rsidRDefault="003F62BA" w:rsidP="003F6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F62BA">
              <w:rPr>
                <w:rFonts w:ascii="Times New Roman" w:eastAsia="Calibri" w:hAnsi="Times New Roman" w:cs="Times New Roman"/>
                <w:sz w:val="18"/>
                <w:szCs w:val="18"/>
              </w:rPr>
              <w:t>Российская Федерация</w:t>
            </w:r>
            <w:r w:rsidRPr="003F62B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F62BA">
              <w:rPr>
                <w:rFonts w:ascii="Times New Roman" w:eastAsia="Calibri" w:hAnsi="Times New Roman" w:cs="Times New Roman"/>
                <w:sz w:val="18"/>
                <w:szCs w:val="18"/>
              </w:rPr>
              <w:t>Самарская область</w:t>
            </w:r>
          </w:p>
          <w:p w:rsidR="003F62BA" w:rsidRDefault="003F62BA" w:rsidP="003F6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F62BA" w:rsidRDefault="003F62BA" w:rsidP="003F6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071">
              <w:rPr>
                <w:rFonts w:ascii="Times New Roman" w:eastAsia="Calibri" w:hAnsi="Times New Roman" w:cs="Times New Roman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62BA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Кинель</w:t>
            </w:r>
          </w:p>
          <w:p w:rsidR="003F62BA" w:rsidRDefault="003F62BA" w:rsidP="003F62B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30"/>
                <w:szCs w:val="30"/>
              </w:rPr>
            </w:pPr>
          </w:p>
          <w:p w:rsidR="003F62BA" w:rsidRPr="003F62BA" w:rsidRDefault="003F62BA" w:rsidP="003F62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3F62BA">
              <w:rPr>
                <w:rFonts w:ascii="Times New Roman" w:eastAsia="Arial Unicode MS" w:hAnsi="Times New Roman" w:cs="Times New Roman"/>
                <w:b/>
                <w:sz w:val="32"/>
                <w:szCs w:val="32"/>
              </w:rPr>
              <w:t>ПОСТАНОВЛЕНИЕ</w:t>
            </w:r>
          </w:p>
          <w:p w:rsidR="003F62BA" w:rsidRPr="003F62BA" w:rsidRDefault="003F62BA" w:rsidP="00644534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 w:rsidRPr="003F62BA">
              <w:rPr>
                <w:b w:val="0"/>
                <w:sz w:val="28"/>
                <w:szCs w:val="28"/>
              </w:rPr>
              <w:t>от</w:t>
            </w:r>
            <w:r w:rsidR="00D9797F">
              <w:rPr>
                <w:b w:val="0"/>
                <w:sz w:val="28"/>
                <w:szCs w:val="28"/>
              </w:rPr>
              <w:t xml:space="preserve"> 01.03.2016г. </w:t>
            </w:r>
            <w:r w:rsidRPr="003F62BA">
              <w:rPr>
                <w:b w:val="0"/>
                <w:sz w:val="28"/>
                <w:szCs w:val="28"/>
              </w:rPr>
              <w:t>№_</w:t>
            </w:r>
            <w:r w:rsidR="00D9797F">
              <w:rPr>
                <w:b w:val="0"/>
                <w:sz w:val="28"/>
                <w:szCs w:val="28"/>
              </w:rPr>
              <w:t>7</w:t>
            </w:r>
            <w:r w:rsidR="00644534">
              <w:rPr>
                <w:b w:val="0"/>
                <w:sz w:val="28"/>
                <w:szCs w:val="28"/>
              </w:rPr>
              <w:t>6</w:t>
            </w:r>
            <w:bookmarkStart w:id="0" w:name="_GoBack"/>
            <w:bookmarkEnd w:id="0"/>
            <w:r w:rsidR="00D9797F">
              <w:rPr>
                <w:b w:val="0"/>
                <w:sz w:val="28"/>
                <w:szCs w:val="28"/>
              </w:rPr>
              <w:t>6</w:t>
            </w:r>
            <w:r w:rsidRPr="003F62BA">
              <w:rPr>
                <w:b w:val="0"/>
                <w:sz w:val="28"/>
                <w:szCs w:val="28"/>
              </w:rPr>
              <w:t>___</w:t>
            </w:r>
          </w:p>
        </w:tc>
      </w:tr>
      <w:tr w:rsidR="003F62BA" w:rsidRPr="007F7F70" w:rsidTr="003F62BA">
        <w:trPr>
          <w:trHeight w:val="2025"/>
        </w:trPr>
        <w:tc>
          <w:tcPr>
            <w:tcW w:w="7221" w:type="dxa"/>
            <w:gridSpan w:val="2"/>
            <w:shd w:val="clear" w:color="auto" w:fill="auto"/>
          </w:tcPr>
          <w:p w:rsidR="003F62BA" w:rsidRDefault="003F62BA" w:rsidP="003F62BA">
            <w:pPr>
              <w:jc w:val="both"/>
              <w:rPr>
                <w:rFonts w:ascii="Calibri" w:eastAsia="Calibri" w:hAnsi="Calibri" w:cs="Times New Roman"/>
              </w:rPr>
            </w:pPr>
          </w:p>
          <w:p w:rsidR="003F62BA" w:rsidRPr="003B748C" w:rsidRDefault="003F62BA" w:rsidP="003F62BA">
            <w:pPr>
              <w:ind w:left="1418" w:right="1279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B748C"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конкурса на звание лучшего специалиста в области физической культуры и спорта городского округа Кинель</w:t>
            </w:r>
          </w:p>
        </w:tc>
      </w:tr>
    </w:tbl>
    <w:p w:rsidR="00502448" w:rsidRDefault="00502448" w:rsidP="00F77071">
      <w:pPr>
        <w:spacing w:before="330" w:after="480" w:line="240" w:lineRule="auto"/>
        <w:ind w:left="851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502448" w:rsidRDefault="00502448" w:rsidP="00F77071">
      <w:pPr>
        <w:spacing w:before="330" w:after="480" w:line="240" w:lineRule="auto"/>
        <w:ind w:left="851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F77071" w:rsidRDefault="00F77071" w:rsidP="00F77071">
      <w:pPr>
        <w:spacing w:before="330" w:after="48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B748C" w:rsidRDefault="003B748C" w:rsidP="00F77071">
      <w:pPr>
        <w:spacing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B748C" w:rsidRDefault="003B748C" w:rsidP="00F77071">
      <w:pPr>
        <w:spacing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B748C" w:rsidRDefault="003B748C" w:rsidP="00F77071">
      <w:pPr>
        <w:spacing w:line="240" w:lineRule="auto"/>
        <w:ind w:left="851"/>
        <w:jc w:val="center"/>
        <w:textAlignment w:val="baseline"/>
        <w:rPr>
          <w:rFonts w:ascii="Times New Roman" w:eastAsia="Times New Roman" w:hAnsi="Times New Roman" w:cs="Times New Roman"/>
          <w:color w:val="2D3038"/>
          <w:kern w:val="36"/>
          <w:sz w:val="28"/>
          <w:szCs w:val="28"/>
          <w:lang w:eastAsia="ru-RU"/>
        </w:rPr>
      </w:pPr>
    </w:p>
    <w:p w:rsidR="003F62BA" w:rsidRDefault="003F62BA" w:rsidP="003F62BA">
      <w:pPr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448" w:rsidRDefault="008D2D0F" w:rsidP="003F62B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D2D0F" w:rsidRPr="00502448" w:rsidRDefault="008D2D0F" w:rsidP="003F62BA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Положение  о конкурсе </w:t>
      </w:r>
      <w:r w:rsidR="00570318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Конкурс)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звание лучшего специалиста в области физической культуры и спорта </w:t>
      </w:r>
      <w:proofErr w:type="gramStart"/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Кинель (Приложение № 1).</w:t>
      </w:r>
      <w:proofErr w:type="gramEnd"/>
    </w:p>
    <w:p w:rsidR="008D2D0F" w:rsidRPr="009A3E19" w:rsidRDefault="008D2D0F" w:rsidP="003F62BA">
      <w:pPr>
        <w:pStyle w:val="a8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E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конкурсную комиссию по определению победителей и призеров конкурса на звание лучшего специалиста в области физической культуры и  спорта в городском округе Кинель (Приложение №2).</w:t>
      </w:r>
    </w:p>
    <w:p w:rsidR="008D2D0F" w:rsidRPr="00502448" w:rsidRDefault="008D2D0F" w:rsidP="003F62BA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специалисту по физической культуре и спорту управления культуры и молодежной политик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(Большакову Ю.В.) обеспечить работу комиссии. </w:t>
      </w:r>
    </w:p>
    <w:p w:rsidR="008D2D0F" w:rsidRPr="00502448" w:rsidRDefault="008D2D0F" w:rsidP="003F62BA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бюджетному учреждению «Спортивный центр «Кинель»» (Тарасенко В.Д.) организовать и провести награждение победителей и призеров Конкурса. </w:t>
      </w:r>
    </w:p>
    <w:p w:rsidR="00502448" w:rsidRPr="007034A2" w:rsidRDefault="007034A2" w:rsidP="003F62BA">
      <w:pPr>
        <w:pStyle w:val="a8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>публиковать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настоящее положение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 xml:space="preserve"> в газет</w:t>
      </w:r>
      <w:r w:rsidR="0067612B">
        <w:rPr>
          <w:rFonts w:ascii="Times New Roman" w:eastAsia="Calibri" w:hAnsi="Times New Roman" w:cs="Times New Roman"/>
          <w:sz w:val="28"/>
          <w:szCs w:val="28"/>
        </w:rPr>
        <w:t>ах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 xml:space="preserve"> «Кинельская </w:t>
      </w:r>
      <w:proofErr w:type="spellStart"/>
      <w:r w:rsidR="00570318" w:rsidRPr="003B748C">
        <w:rPr>
          <w:rFonts w:ascii="Times New Roman" w:eastAsia="Calibri" w:hAnsi="Times New Roman" w:cs="Times New Roman"/>
          <w:sz w:val="28"/>
          <w:szCs w:val="28"/>
        </w:rPr>
        <w:t>жизнь»</w:t>
      </w:r>
      <w:proofErr w:type="gramStart"/>
      <w:r w:rsidR="0067612B">
        <w:rPr>
          <w:rFonts w:ascii="Times New Roman" w:eastAsia="Calibri" w:hAnsi="Times New Roman" w:cs="Times New Roman"/>
          <w:sz w:val="28"/>
          <w:szCs w:val="28"/>
        </w:rPr>
        <w:t>,«</w:t>
      </w:r>
      <w:proofErr w:type="gramEnd"/>
      <w:r w:rsidR="0067612B">
        <w:rPr>
          <w:rFonts w:ascii="Times New Roman" w:eastAsia="Calibri" w:hAnsi="Times New Roman" w:cs="Times New Roman"/>
          <w:sz w:val="28"/>
          <w:szCs w:val="28"/>
        </w:rPr>
        <w:t>Неделя</w:t>
      </w:r>
      <w:proofErr w:type="spellEnd"/>
      <w:r w:rsidR="0067612B">
        <w:rPr>
          <w:rFonts w:ascii="Times New Roman" w:eastAsia="Calibri" w:hAnsi="Times New Roman" w:cs="Times New Roman"/>
          <w:sz w:val="28"/>
          <w:szCs w:val="28"/>
        </w:rPr>
        <w:t xml:space="preserve"> Кинеля» и </w:t>
      </w:r>
      <w:r w:rsidR="00570318" w:rsidRPr="003B748C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администрации городского округа Кинель</w:t>
      </w:r>
      <w:r w:rsidR="00502448" w:rsidRPr="003B748C">
        <w:rPr>
          <w:rFonts w:ascii="Times New Roman" w:hAnsi="Times New Roman" w:cs="Times New Roman"/>
          <w:sz w:val="28"/>
          <w:szCs w:val="28"/>
        </w:rPr>
        <w:t>.</w:t>
      </w:r>
    </w:p>
    <w:p w:rsidR="0067612B" w:rsidRDefault="007034A2" w:rsidP="003F62BA">
      <w:pPr>
        <w:pStyle w:val="a8"/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Pr="003B7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B7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городского округа Кинель </w:t>
      </w:r>
      <w:r w:rsidRPr="006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социальным вопросам</w:t>
      </w:r>
    </w:p>
    <w:p w:rsidR="003F62BA" w:rsidRPr="003F62BA" w:rsidRDefault="007034A2" w:rsidP="003F62BA">
      <w:pPr>
        <w:tabs>
          <w:tab w:val="left" w:pos="1134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12B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(Ускова</w:t>
      </w:r>
      <w:r w:rsidR="003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12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А.А.)</w:t>
      </w:r>
      <w:r w:rsidR="00676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62BA" w:rsidRDefault="00570318" w:rsidP="003F62BA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448">
        <w:rPr>
          <w:rFonts w:ascii="Times New Roman" w:hAnsi="Times New Roman" w:cs="Times New Roman"/>
          <w:sz w:val="28"/>
          <w:szCs w:val="28"/>
        </w:rPr>
        <w:t xml:space="preserve">Глава городского округа </w:t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</w:r>
      <w:r w:rsidR="00502448">
        <w:rPr>
          <w:rFonts w:ascii="Times New Roman" w:hAnsi="Times New Roman" w:cs="Times New Roman"/>
          <w:sz w:val="28"/>
          <w:szCs w:val="28"/>
        </w:rPr>
        <w:tab/>
      </w:r>
      <w:r w:rsidRPr="00502448">
        <w:rPr>
          <w:rFonts w:ascii="Times New Roman" w:hAnsi="Times New Roman" w:cs="Times New Roman"/>
          <w:sz w:val="28"/>
          <w:szCs w:val="28"/>
        </w:rPr>
        <w:tab/>
        <w:t>В.А. Чихирев</w:t>
      </w:r>
    </w:p>
    <w:p w:rsidR="0044629F" w:rsidRDefault="00502448" w:rsidP="003F62BA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Ускова 21370</w:t>
      </w:r>
      <w:r w:rsidR="00570318">
        <w:rPr>
          <w:rFonts w:ascii="Times New Roman" w:hAnsi="Times New Roman" w:cs="Times New Roman"/>
          <w:sz w:val="28"/>
          <w:szCs w:val="28"/>
        </w:rPr>
        <w:br w:type="page"/>
      </w:r>
    </w:p>
    <w:p w:rsidR="00E45216" w:rsidRPr="00D4381C" w:rsidRDefault="00E45216" w:rsidP="0044629F">
      <w:pPr>
        <w:spacing w:after="0" w:line="360" w:lineRule="auto"/>
        <w:ind w:left="284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E45216" w:rsidRPr="00502448" w:rsidRDefault="00E45216" w:rsidP="003F62BA">
      <w:pPr>
        <w:spacing w:after="0" w:line="319" w:lineRule="atLeast"/>
        <w:ind w:left="28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3F6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45216" w:rsidRPr="00502448" w:rsidRDefault="00E45216" w:rsidP="0044629F">
      <w:pPr>
        <w:spacing w:after="0" w:line="319" w:lineRule="atLeast"/>
        <w:ind w:left="28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E45216" w:rsidRPr="00502448" w:rsidRDefault="00E45216" w:rsidP="0044629F">
      <w:pPr>
        <w:spacing w:after="0" w:line="319" w:lineRule="atLeast"/>
        <w:ind w:left="284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от__________№_________</w:t>
      </w:r>
    </w:p>
    <w:p w:rsidR="00E45216" w:rsidRPr="00502448" w:rsidRDefault="00E45216" w:rsidP="00D4381C">
      <w:pPr>
        <w:spacing w:before="330" w:line="240" w:lineRule="auto"/>
        <w:ind w:left="284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Положение о конкурсе на звание лучшего специалиста в области физической культуры и спорта в городском округе Кинель</w:t>
      </w:r>
    </w:p>
    <w:p w:rsidR="00E45216" w:rsidRPr="00502448" w:rsidRDefault="00E45216" w:rsidP="00D4381C">
      <w:pPr>
        <w:pStyle w:val="a8"/>
        <w:numPr>
          <w:ilvl w:val="0"/>
          <w:numId w:val="3"/>
        </w:numPr>
        <w:spacing w:after="0" w:line="240" w:lineRule="auto"/>
        <w:ind w:left="284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Цели и задачи</w:t>
      </w:r>
    </w:p>
    <w:p w:rsidR="00E45216" w:rsidRPr="00502448" w:rsidRDefault="00BD3654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 на звание лучшего специалиста в области физической культуры и спорта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городском округе Кинель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Конкурс) направлен на развитие творческой деятельности работников сферы физической культуры и спорта, поддержку новых технологий в организации физкультурно-спортивной работы, утверждение приоритетов физической культуры и спорта в обществе.</w:t>
      </w:r>
    </w:p>
    <w:p w:rsidR="00BD3654" w:rsidRPr="00502448" w:rsidRDefault="00E45216" w:rsidP="00D4381C">
      <w:pPr>
        <w:pStyle w:val="a8"/>
        <w:numPr>
          <w:ilvl w:val="1"/>
          <w:numId w:val="11"/>
        </w:numPr>
        <w:spacing w:after="0"/>
        <w:ind w:left="284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Конкурса являются:</w:t>
      </w:r>
    </w:p>
    <w:p w:rsidR="00E45216" w:rsidRPr="00502448" w:rsidRDefault="00E45216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лучших спортсменов и лучших тренеров, преподавателей физической культуры, их поддержка и поощрение;</w:t>
      </w:r>
    </w:p>
    <w:p w:rsidR="00E45216" w:rsidRPr="00502448" w:rsidRDefault="00E45216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распространение передового опыта работы;</w:t>
      </w:r>
    </w:p>
    <w:p w:rsidR="00E45216" w:rsidRPr="00502448" w:rsidRDefault="00E45216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дальнейшего профессионального роста работников сферы физической культуры и спорта;</w:t>
      </w:r>
    </w:p>
    <w:p w:rsidR="00E45216" w:rsidRDefault="00E45216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физической культуры и спорта, здорового образа жизни.</w:t>
      </w:r>
    </w:p>
    <w:p w:rsidR="00502448" w:rsidRPr="00502448" w:rsidRDefault="00502448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16" w:rsidRPr="00502448" w:rsidRDefault="00E45216" w:rsidP="00D4381C">
      <w:pPr>
        <w:spacing w:after="0"/>
        <w:ind w:left="284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Руководство проведением</w:t>
      </w:r>
    </w:p>
    <w:p w:rsidR="00E45216" w:rsidRPr="00502448" w:rsidRDefault="00BD3654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проведением Конкурса осуществляет </w:t>
      </w:r>
      <w:r w:rsidR="00D438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Кинель Самарской области (далее - администрация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45216" w:rsidRPr="00502448" w:rsidRDefault="00BD3654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Конкурса осуществляет управление культуры и молодежной политики </w:t>
      </w:r>
      <w:r w:rsidR="00502448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муниципальное бюджетное учреждение «Спортивный центр «Кинель»»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Конкурсная комиссия по опр</w:t>
      </w:r>
      <w:r w:rsidR="00D43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еделению победителей и призёров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на звание лучшего специалиста в области физической культуры и спорта </w:t>
      </w:r>
      <w:r w:rsidR="00C527C2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городском округе Кинель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Конкурсная комиссия).</w:t>
      </w:r>
    </w:p>
    <w:p w:rsidR="00E45216" w:rsidRPr="00502448" w:rsidRDefault="00502448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создается в целях выявления победителей и призеров Конкурса.</w:t>
      </w:r>
    </w:p>
    <w:p w:rsidR="00E45216" w:rsidRPr="00502448" w:rsidRDefault="00C527C2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в своей деятельности руководствуется настоящим Положением.</w:t>
      </w:r>
    </w:p>
    <w:p w:rsidR="00E45216" w:rsidRPr="00502448" w:rsidRDefault="00C527C2" w:rsidP="00D4381C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Конкурсной комиссии принимаются простым большинством голосов членов комиссии, принимающих участие в заседании. Конкурсная комиссия правомочна решать вопросы, отнесенные к ее компетенции, если на заседании присутствуют не менее половины ее членов. При голосовании каждый член Конкурсной комиссии имеет один голос. При равенстве голосов членов Конкурсной комиссии решающим является голос председателя Конкурсной комиссии.</w:t>
      </w:r>
    </w:p>
    <w:p w:rsidR="00D4381C" w:rsidRDefault="00D4381C" w:rsidP="0050244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29F" w:rsidRDefault="0044629F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27C2" w:rsidRDefault="00502448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рассмотрения заявок Конкурсная комиссия определяет победителей и призеров Конкурса.</w:t>
      </w:r>
    </w:p>
    <w:p w:rsidR="00502448" w:rsidRPr="00502448" w:rsidRDefault="00502448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16" w:rsidRPr="00502448" w:rsidRDefault="00502448" w:rsidP="0044629F">
      <w:pPr>
        <w:pStyle w:val="a8"/>
        <w:spacing w:after="0"/>
        <w:ind w:left="284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Сроки проведения</w:t>
      </w:r>
    </w:p>
    <w:p w:rsidR="00E45216" w:rsidRPr="00502448" w:rsidRDefault="00502448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</w:t>
      </w:r>
      <w:r w:rsidR="00C527C2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</w:t>
      </w:r>
      <w:r w:rsidR="00C527C2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од с 8 сентября по 30 октября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16" w:rsidRDefault="00C527C2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срок до 8 сентября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учреждений и предприятий 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форм </w:t>
      </w:r>
      <w:proofErr w:type="spellStart"/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клубов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«Спортивный центр «Кинель»»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подведения итогов и определения победителей и призеров Конкурса необходимые документы.</w:t>
      </w:r>
    </w:p>
    <w:p w:rsidR="00502448" w:rsidRPr="00502448" w:rsidRDefault="00502448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16" w:rsidRPr="00502448" w:rsidRDefault="00E45216" w:rsidP="0044629F">
      <w:pPr>
        <w:spacing w:after="0"/>
        <w:ind w:left="284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Номинации</w:t>
      </w:r>
    </w:p>
    <w:p w:rsidR="00E45216" w:rsidRPr="00502448" w:rsidRDefault="00C527C2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номинациям:</w:t>
      </w:r>
    </w:p>
    <w:p w:rsidR="00E45216" w:rsidRPr="00502448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Лучший спортсмен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летних видах спорта (мужчина, женщина).</w:t>
      </w:r>
    </w:p>
    <w:p w:rsidR="000676C1" w:rsidRPr="00502448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Лучший спортсмен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зимних видах спорта (мужчина, женщина).</w:t>
      </w:r>
    </w:p>
    <w:p w:rsidR="000676C1" w:rsidRPr="00502448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Лучший спортсмен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адаптивных видах спорта (мужчина, женщина).</w:t>
      </w:r>
    </w:p>
    <w:p w:rsidR="000676C1" w:rsidRPr="00502448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4.1.4. 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тренер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0676C1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летним видам спорта.</w:t>
      </w:r>
    </w:p>
    <w:p w:rsidR="000676C1" w:rsidRPr="00502448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4.1.5.Лучший тренер года по зимним видам спорта.</w:t>
      </w:r>
    </w:p>
    <w:p w:rsidR="00A541E6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4.1.6. 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тренер года по адаптивным видам спорта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B43" w:rsidRPr="00502448" w:rsidRDefault="003C0B43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4.1.7. Лучший тренер года по игровым видам спорта.</w:t>
      </w:r>
    </w:p>
    <w:p w:rsidR="00A541E6" w:rsidRPr="00502448" w:rsidRDefault="003C0B43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4.1.8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Лучшая команда года.</w:t>
      </w:r>
    </w:p>
    <w:p w:rsidR="00A541E6" w:rsidRPr="00502448" w:rsidRDefault="003C0B43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4.1.9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Лучший спортивный клуб года.</w:t>
      </w:r>
    </w:p>
    <w:p w:rsidR="00A541E6" w:rsidRPr="00502448" w:rsidRDefault="003C0B43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4.1.10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Лучший преподаватель (учитель) физической культуры и спорта года.</w:t>
      </w:r>
    </w:p>
    <w:p w:rsidR="00E45216" w:rsidRPr="00502448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номинаций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спортсмен года в летних видах спорта</w:t>
      </w:r>
      <w:proofErr w:type="gramStart"/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мужчина, женщина)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спортсмен года в зимних видах спорта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(мужчина, женщина)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спортсмен года в адаптивных видах спорта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(мужчина, женщина)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тренер года по л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етним видам спорта»,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тренер года по зимним видам спорта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тренер года по адаптивным видам спорта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«Лучший тренер года по игровым видам спорта»,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команда года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Лучший спортивный клуб </w:t>
      </w:r>
      <w:proofErr w:type="spellStart"/>
      <w:r w:rsidR="0044629F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proofErr w:type="gramStart"/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обедитель</w:t>
      </w:r>
      <w:proofErr w:type="spellEnd"/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результатам работы за текущий год.</w:t>
      </w:r>
    </w:p>
    <w:p w:rsidR="00E45216" w:rsidRPr="00502448" w:rsidRDefault="00A541E6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номинации «Лучший п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реподаватель (уч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итель) физической культуры года»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победитель определяется по результатам работы за предыдущий учебный год.</w:t>
      </w:r>
    </w:p>
    <w:p w:rsidR="00E45216" w:rsidRPr="00502448" w:rsidRDefault="00502448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446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A1A7D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спортсмен года в летних видах спорта</w:t>
      </w:r>
      <w:proofErr w:type="gramStart"/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мужчина, женщина), «</w:t>
      </w:r>
      <w:r w:rsidR="008A1A7D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спортсмен года в зимних видах спорта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»(мужчина, женщина), «</w:t>
      </w:r>
      <w:r w:rsidR="008A1A7D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спортсмен года в адаптивных видах спорта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»(мужчина, женщина),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к участию действующие спортсмены, проживающие в 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округе Кинель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представляющие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Кинель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показавшие наилучшие личные результаты на спор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соревнованиях (по итогам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лучших результатов, показанных за текущий год).</w:t>
      </w:r>
    </w:p>
    <w:p w:rsidR="0044629F" w:rsidRDefault="00502448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</w:t>
      </w:r>
      <w:r w:rsidR="008A1A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«Тренер года»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к участию тренеры, проживающие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работающие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Кинель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ведущие работу с детьми, подготовку спортсменов, в том числе спортсменов высокой квалификации, учреждений, кл</w:t>
      </w:r>
      <w:r w:rsidR="00A541E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убов (команд)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группах "тренер по летним видам спорта", </w:t>
      </w:r>
    </w:p>
    <w:p w:rsidR="0044629F" w:rsidRDefault="0044629F" w:rsidP="0044629F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16" w:rsidRPr="00502448" w:rsidRDefault="00E45216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"тренер по зимним видам спорта, "тренер по адаптивным видам спорта"</w:t>
      </w:r>
      <w:r w:rsidR="003C0B43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«тренер по игровым видам спорта»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подсчет баллов производится не более чем за 5 лучших результатов спортсменов (команд, групп, экипажей), показанных за текущий год.</w:t>
      </w:r>
    </w:p>
    <w:p w:rsidR="00E45216" w:rsidRPr="00502448" w:rsidRDefault="00A541E6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"Команда года" допускаются к участию действующие команды по различным видам спорта, базирующиеся в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округе Кинель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представляющие 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proofErr w:type="spellStart"/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gramStart"/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оказавшие</w:t>
      </w:r>
      <w:proofErr w:type="spellEnd"/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наилучшие результаты на спортивных соревнованиях (по итогам не более чем 5 лучших результатов, показанных за текущий год).</w:t>
      </w:r>
    </w:p>
    <w:p w:rsidR="00E45216" w:rsidRPr="00502448" w:rsidRDefault="00A541E6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4.7.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"Преподаватель (учитель) физической культуры года" допускаются к участию преподават</w:t>
      </w: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образовательных учреждений городского округа Кинель</w:t>
      </w:r>
      <w:r w:rsidR="00F3562E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562E" w:rsidRDefault="00F3562E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4.8.От каждого учреждения, предприятия, клуба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может быть представлено не более одного конкурсанта в каждой номинации и группе.</w:t>
      </w:r>
    </w:p>
    <w:p w:rsidR="00502448" w:rsidRDefault="00502448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Pr="00502448" w:rsidRDefault="00F3562E" w:rsidP="008A1A7D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5. </w:t>
      </w:r>
      <w:r w:rsidR="00E45216" w:rsidRPr="0050244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Порядок проведения конкурса</w:t>
      </w:r>
      <w:r w:rsidR="00C51E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перечень документов</w:t>
      </w:r>
    </w:p>
    <w:p w:rsidR="00E45216" w:rsidRPr="00962535" w:rsidRDefault="00F3562E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выдвижении кандидата для участия </w:t>
      </w:r>
      <w:r w:rsidR="00676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утверждается 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67612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3C0B43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proofErr w:type="spellEnd"/>
      <w:r w:rsidR="003C0B43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риятий всех форм собственности, спортивных клубов, команд </w:t>
      </w:r>
      <w:r w:rsidR="003C0B43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на территории  городского округа Кинель 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51E9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</w:t>
      </w:r>
      <w:r w:rsidR="00C51E9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51E9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«Спортивный центр «Кинель»» 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подс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чета баллов по адресу: г. Кинель, ул. Маяковского, д. 52 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(846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63) 6 – 17 – 18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адрес: </w:t>
      </w:r>
      <w:proofErr w:type="spellStart"/>
      <w:r w:rsidR="00B374FD" w:rsidRPr="009625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sportivnicenter</w:t>
      </w:r>
      <w:proofErr w:type="spellEnd"/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374FD" w:rsidRPr="009625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E45216" w:rsidRPr="00962535" w:rsidRDefault="00B374FD" w:rsidP="00560A96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пред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ставляемых документов для участия</w:t>
      </w:r>
      <w:r w:rsidR="00DC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Конкурсе:</w:t>
      </w:r>
    </w:p>
    <w:p w:rsidR="00E45216" w:rsidRPr="00962535" w:rsidRDefault="00B374FD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5.2.1.</w:t>
      </w:r>
      <w:r w:rsidR="00F4425B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</w:t>
      </w:r>
      <w:r w:rsidR="00F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участие в конкурсе;</w:t>
      </w:r>
    </w:p>
    <w:p w:rsidR="00F4425B" w:rsidRPr="00962535" w:rsidRDefault="00B374FD" w:rsidP="00F4425B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5.2.2.</w:t>
      </w:r>
      <w:r w:rsidR="00F4425B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конкурсанте, в соответс</w:t>
      </w:r>
      <w:r w:rsidR="00F4425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с критериями, указанными в Положении</w:t>
      </w:r>
      <w:r w:rsidR="00F4425B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25B" w:rsidRDefault="00F4425B" w:rsidP="00F4425B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данные, указанные в направляемых материалах, должны быть подтверждены документально.</w:t>
      </w:r>
    </w:p>
    <w:p w:rsidR="00962535" w:rsidRPr="00962535" w:rsidRDefault="00962535" w:rsidP="00F4425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16" w:rsidRDefault="00B374FD" w:rsidP="008A1A7D">
      <w:pPr>
        <w:spacing w:after="0"/>
        <w:ind w:left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Подведение итогов конкурса</w:t>
      </w:r>
    </w:p>
    <w:p w:rsidR="00F4425B" w:rsidRPr="00962535" w:rsidRDefault="00F4425B" w:rsidP="008A1A7D">
      <w:pPr>
        <w:spacing w:after="0"/>
        <w:ind w:left="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16" w:rsidRPr="00962535" w:rsidRDefault="00962535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B374FD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«Спортивный центр «Кинель»» 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обработку поданных 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и подсчет баллов.</w:t>
      </w:r>
    </w:p>
    <w:p w:rsidR="00E45216" w:rsidRPr="00962535" w:rsidRDefault="00B374FD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подводит итоги Конкурса, определяет победителей и призеров в каждой номинации и группе.</w:t>
      </w:r>
    </w:p>
    <w:p w:rsidR="00E45216" w:rsidRPr="00962535" w:rsidRDefault="00B374FD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6.3.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деятельности и профессиональных качеств конкурсантов, а также условия подсчета результ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атов указаны в Приложениях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16" w:rsidRPr="00962535" w:rsidRDefault="00B374FD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6.4.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Конкурса в каждой номинации и группе определяются по наибольшей сумме набранных баллов.</w:t>
      </w:r>
    </w:p>
    <w:p w:rsidR="00E45216" w:rsidRPr="00962535" w:rsidRDefault="00B374FD" w:rsidP="008A1A7D">
      <w:pPr>
        <w:spacing w:after="0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равном количестве баллов предпочтение отдается конкурсанту, показавшему лучший результат в соревнованиях более высокого ранга.</w:t>
      </w:r>
    </w:p>
    <w:p w:rsidR="00E45216" w:rsidRPr="00962535" w:rsidRDefault="00B374FD" w:rsidP="0096253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6.6.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Конкурсанты, занявшие 1, 2 и 3 места в каждой номинации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группе, награждаются денежными призами и</w:t>
      </w:r>
      <w:r w:rsidR="00F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почетными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грамотами Главы городского округа Кинель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CB" w:rsidRPr="00962535" w:rsidRDefault="00E80CCB" w:rsidP="00962535">
      <w:pPr>
        <w:spacing w:after="0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45216" w:rsidRDefault="00E45216" w:rsidP="00962535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7. Финансовое обеспечение конкурса</w:t>
      </w:r>
    </w:p>
    <w:p w:rsidR="00560A96" w:rsidRPr="00962535" w:rsidRDefault="00560A96" w:rsidP="00962535">
      <w:pPr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16" w:rsidRPr="00962535" w:rsidRDefault="00B374FD" w:rsidP="0096253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организации и проведения награждения победителей и призеров Конкурса </w:t>
      </w:r>
      <w:proofErr w:type="spellStart"/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«Спортивный центр «Кинель»» за счет средств, предусмотренных в муниципальной целевой программе «Развитие физической культуры и спорта на территории городског</w:t>
      </w:r>
      <w:r w:rsidR="00DC07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Кинель 2013 – 2017 гг.»,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принятой</w:t>
      </w:r>
      <w:r w:rsidR="00E45216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80CCB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Кинель от 06.11.2012г. №3446.</w:t>
      </w:r>
    </w:p>
    <w:p w:rsidR="00E45216" w:rsidRPr="00962535" w:rsidRDefault="00E45216" w:rsidP="00962535">
      <w:p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E45216" w:rsidRDefault="00E45216" w:rsidP="00E45216">
      <w:pPr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E45216">
      <w:pPr>
        <w:spacing w:after="0" w:line="319" w:lineRule="atLeast"/>
        <w:jc w:val="center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570318" w:rsidRPr="00962535" w:rsidRDefault="00570318" w:rsidP="003F62BA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570318" w:rsidRPr="00962535" w:rsidRDefault="00570318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570318" w:rsidRPr="00962535" w:rsidRDefault="00570318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570318" w:rsidRPr="00962535" w:rsidRDefault="00570318" w:rsidP="00570318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570318" w:rsidRPr="00962535" w:rsidRDefault="00570318" w:rsidP="00962535">
      <w:pPr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 №________</w:t>
      </w:r>
    </w:p>
    <w:p w:rsidR="00A32ED8" w:rsidRPr="00570318" w:rsidRDefault="00382A64" w:rsidP="00570318">
      <w:pPr>
        <w:numPr>
          <w:ilvl w:val="1"/>
          <w:numId w:val="1"/>
        </w:numPr>
        <w:spacing w:after="0" w:line="319" w:lineRule="atLeast"/>
        <w:ind w:left="-1500"/>
        <w:textAlignment w:val="baseline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ru-RU"/>
        </w:rPr>
      </w:pPr>
      <w:hyperlink r:id="rId9" w:tooltip="Перейти к обсуждению" w:history="1">
        <w:r w:rsidR="00A32ED8" w:rsidRPr="00A32ED8">
          <w:rPr>
            <w:rFonts w:ascii="Times New Roman" w:eastAsia="Times New Roman" w:hAnsi="Times New Roman" w:cs="Times New Roman"/>
            <w:b/>
            <w:bCs/>
            <w:color w:val="0085BD"/>
            <w:sz w:val="28"/>
            <w:szCs w:val="28"/>
            <w:u w:val="single"/>
            <w:bdr w:val="none" w:sz="0" w:space="0" w:color="auto" w:frame="1"/>
            <w:lang w:eastAsia="ru-RU"/>
          </w:rPr>
          <w:t> Д</w:t>
        </w:r>
      </w:hyperlink>
    </w:p>
    <w:p w:rsidR="00A32ED8" w:rsidRPr="00962535" w:rsidRDefault="00A32ED8" w:rsidP="00962535">
      <w:pPr>
        <w:spacing w:before="330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Состав конкурсной комиссии по опр</w:t>
      </w:r>
      <w:r w:rsidR="00570318" w:rsidRPr="009625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еделению победителей и призеров</w:t>
      </w:r>
      <w:r w:rsidRPr="009625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конкурса на звание лучшего специалиста в области физической культуры и спорта </w:t>
      </w:r>
      <w:r w:rsidR="00570318" w:rsidRPr="009625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городском округе Кинель</w:t>
      </w:r>
    </w:p>
    <w:p w:rsidR="00570318" w:rsidRPr="00962535" w:rsidRDefault="00570318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Чихирев Владимир Александрович – Глава городского округа Кинель, председатель комиссии.</w:t>
      </w:r>
    </w:p>
    <w:p w:rsidR="00570318" w:rsidRPr="00962535" w:rsidRDefault="00570318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 Алла Анатольевна – заместитель Главы городского округа Кинель по социальным вопросам, заместитель председателя комиссии.</w:t>
      </w:r>
    </w:p>
    <w:p w:rsidR="00570318" w:rsidRPr="00962535" w:rsidRDefault="00570318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Большаков Юрий Витальевич – главный специалист по физической культуре и спорту управления культуры и молодежной политик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округа, секретарь комиссии.</w:t>
      </w:r>
    </w:p>
    <w:p w:rsidR="00570318" w:rsidRPr="00962535" w:rsidRDefault="00570318" w:rsidP="00962535">
      <w:pPr>
        <w:pStyle w:val="a8"/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570318" w:rsidRPr="00962535" w:rsidRDefault="00570318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Васева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Александровна – руководитель управления культуры и молодежной политик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округа.</w:t>
      </w:r>
    </w:p>
    <w:p w:rsidR="00E30FB2" w:rsidRPr="00962535" w:rsidRDefault="00E30FB2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Жиганова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Юрьевна – начальник отдела молодежной политики управления культуры и молодежной политик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округа.</w:t>
      </w:r>
    </w:p>
    <w:p w:rsidR="00E30FB2" w:rsidRPr="00962535" w:rsidRDefault="00E30FB2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Тарасенко Вячеслав Дмитриевич – директор муниципального бюджетного учреждения «Спортивный центр «Кинель»».</w:t>
      </w:r>
    </w:p>
    <w:p w:rsidR="00E30FB2" w:rsidRPr="00962535" w:rsidRDefault="00E30FB2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Глотова Ираида Юрьевна – руководитель центра дополнительного образования СП ДЮСШ ГБОУ СОШ №9.</w:t>
      </w:r>
    </w:p>
    <w:p w:rsidR="00E30FB2" w:rsidRPr="00962535" w:rsidRDefault="00E30FB2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Андриасян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Викторовна – депутат Думы городского округа Кинель.</w:t>
      </w:r>
    </w:p>
    <w:p w:rsidR="00E30FB2" w:rsidRPr="00962535" w:rsidRDefault="00E30FB2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Мамай Игорь Николаевич – заместитель ректора ГБОУ ВПО СГСХА по </w:t>
      </w:r>
      <w:r w:rsidR="00F442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 и социальной работе.</w:t>
      </w:r>
    </w:p>
    <w:p w:rsidR="00E30FB2" w:rsidRPr="00962535" w:rsidRDefault="00E45216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Никишков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Петрович – отличник физической культуры и спорта Российской Федерации.</w:t>
      </w:r>
    </w:p>
    <w:p w:rsidR="00E45216" w:rsidRDefault="00E45216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Шемшур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Валерий</w:t>
      </w:r>
      <w:r w:rsidR="00F44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Анатольевич</w:t>
      </w: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депутат Думы городского округа Кинель.</w:t>
      </w:r>
    </w:p>
    <w:p w:rsidR="00076CDA" w:rsidRDefault="00076CDA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 Владимир Александрович – учитель ГБОУ СОШ №4.</w:t>
      </w:r>
    </w:p>
    <w:p w:rsidR="00076CDA" w:rsidRPr="00962535" w:rsidRDefault="00076CDA" w:rsidP="00962535">
      <w:pPr>
        <w:pStyle w:val="a8"/>
        <w:numPr>
          <w:ilvl w:val="0"/>
          <w:numId w:val="2"/>
        </w:numPr>
        <w:spacing w:before="33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 Виктор Федорович – почетный житель г.о. Кинель.</w:t>
      </w:r>
    </w:p>
    <w:p w:rsidR="00E45216" w:rsidRDefault="00E45216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45216" w:rsidRDefault="00E45216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106CA9" w:rsidRDefault="00106CA9" w:rsidP="00076C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ED8" w:rsidRPr="00E80CCB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</w:t>
      </w:r>
    </w:p>
    <w:p w:rsidR="00A32ED8" w:rsidRPr="00E80CCB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C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учреждения, подающего представление) к участию в конкурсе</w:t>
      </w:r>
    </w:p>
    <w:p w:rsidR="00A32ED8" w:rsidRPr="00E80CCB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звание "Спортсмен года", "Тренер года", "Преподаватель (учитель)</w:t>
      </w:r>
    </w:p>
    <w:p w:rsidR="00A32ED8" w:rsidRPr="00E80CCB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C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культуры года"</w:t>
      </w:r>
    </w:p>
    <w:p w:rsidR="00A32ED8" w:rsidRPr="00A32ED8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90"/>
        <w:tblW w:w="11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0504"/>
      </w:tblGrid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(полностью)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наименование) с указанием ведомственной принадлежности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(учебное заведение, специальность)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стаж работы</w:t>
            </w:r>
            <w:r w:rsidR="00F4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таж работы в отрасли</w:t>
            </w:r>
            <w:r w:rsidR="00F442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</w:t>
            </w: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валификационная категория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спорта, спортивное звание (разряд)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занятий спортом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достижение за весь период деятельности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наград (указать дату награждения)</w:t>
            </w:r>
          </w:p>
        </w:tc>
      </w:tr>
      <w:tr w:rsidR="00962535" w:rsidRPr="00962535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962535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 (адрес, телефон, e-</w:t>
            </w:r>
            <w:proofErr w:type="spellStart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A32ED8" w:rsidRPr="00A32ED8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A32ED8" w:rsidRPr="00A32ED8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Pr="00A32ED8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A32ED8" w:rsidRDefault="00962535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</w:t>
      </w:r>
      <w:r w:rsidR="00A32ED8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962535" w:rsidRPr="00962535" w:rsidRDefault="00962535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ED8" w:rsidRPr="00962535" w:rsidRDefault="00962535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A32ED8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="00A32ED8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E80CCB" w:rsidRDefault="00E80CCB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775087" w:rsidRDefault="00775087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962535" w:rsidRPr="00962535" w:rsidRDefault="00962535" w:rsidP="0096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jc w:val="right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106CA9" w:rsidRDefault="00106CA9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CA9" w:rsidRDefault="00106CA9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CA9" w:rsidRDefault="00106CA9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CA9" w:rsidRDefault="00106CA9" w:rsidP="003F62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ED8" w:rsidRPr="00962535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</w:t>
      </w:r>
    </w:p>
    <w:p w:rsidR="00A32ED8" w:rsidRPr="00962535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учреждения, подающего представление)</w:t>
      </w:r>
    </w:p>
    <w:p w:rsidR="00A32ED8" w:rsidRPr="00962535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на звание "Команда года"</w:t>
      </w:r>
    </w:p>
    <w:p w:rsidR="00A32ED8" w:rsidRPr="00A32ED8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A32ED8" w:rsidRPr="00A32ED8" w:rsidRDefault="00A32ED8" w:rsidP="00E80C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tbl>
      <w:tblPr>
        <w:tblW w:w="11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0645"/>
      </w:tblGrid>
      <w:tr w:rsidR="00A32ED8" w:rsidRPr="00962535" w:rsidTr="00A32ED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команды</w:t>
            </w:r>
          </w:p>
        </w:tc>
      </w:tr>
      <w:tr w:rsidR="00A32ED8" w:rsidRPr="00962535" w:rsidTr="00A32ED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спорта</w:t>
            </w:r>
          </w:p>
        </w:tc>
      </w:tr>
      <w:tr w:rsidR="00A32ED8" w:rsidRPr="00962535" w:rsidTr="00A32ED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участников команды с указанием даты рождения</w:t>
            </w:r>
          </w:p>
        </w:tc>
      </w:tr>
      <w:tr w:rsidR="00A32ED8" w:rsidRPr="00962535" w:rsidTr="00A32ED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достижение команды за период выступления</w:t>
            </w:r>
          </w:p>
        </w:tc>
      </w:tr>
      <w:tr w:rsidR="00A32ED8" w:rsidRPr="00962535" w:rsidTr="00A32ED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руководителя</w:t>
            </w:r>
          </w:p>
        </w:tc>
      </w:tr>
      <w:tr w:rsidR="00A32ED8" w:rsidRPr="00962535" w:rsidTr="00A32ED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главного тренера (спортивное звание, категория, дата рождения)</w:t>
            </w:r>
          </w:p>
        </w:tc>
      </w:tr>
      <w:tr w:rsidR="00A32ED8" w:rsidRPr="00962535" w:rsidTr="00A32ED8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962535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Контактная информация (адрес, телефон e-</w:t>
            </w:r>
            <w:proofErr w:type="spellStart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A32ED8" w:rsidRDefault="00A32ED8" w:rsidP="0096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962535" w:rsidRPr="00A32ED8" w:rsidRDefault="00962535" w:rsidP="0096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A32ED8" w:rsidRPr="00A32ED8" w:rsidRDefault="00A32ED8" w:rsidP="0096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A32ED8" w:rsidRDefault="00962535" w:rsidP="0096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Руководитель________________________</w:t>
      </w:r>
      <w:r w:rsidR="00A32ED8"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962535" w:rsidRPr="00962535" w:rsidRDefault="00962535" w:rsidP="0096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ED8" w:rsidRPr="00962535" w:rsidRDefault="00A32ED8" w:rsidP="00962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E80CCB" w:rsidRDefault="00E80CCB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962535" w:rsidRDefault="00962535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3F62BA">
      <w:pPr>
        <w:spacing w:before="33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2ED8" w:rsidRPr="00962535" w:rsidRDefault="00A32ED8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Условия присвоения звания лучшего специалиста в области физической культуры и спорта в номинации «Спортсмен года» в зимних и летних олимпийских видах спорта, в адаптивных видах спорта, в неолимпийских видах спорта</w:t>
      </w:r>
    </w:p>
    <w:p w:rsidR="00A32ED8" w:rsidRPr="00962535" w:rsidRDefault="00A32ED8" w:rsidP="00962535">
      <w:pPr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 оценки и условия подсчета результатов</w:t>
      </w:r>
    </w:p>
    <w:tbl>
      <w:tblPr>
        <w:tblpPr w:leftFromText="180" w:rightFromText="180" w:vertAnchor="text" w:horzAnchor="margin" w:tblpXSpec="center" w:tblpY="220"/>
        <w:tblW w:w="11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5372"/>
        <w:gridCol w:w="1242"/>
        <w:gridCol w:w="1242"/>
        <w:gridCol w:w="1242"/>
        <w:gridCol w:w="1406"/>
      </w:tblGrid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игры/</w:t>
            </w:r>
            <w:proofErr w:type="spellStart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80CCB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962535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83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Кубок мира 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36B39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962535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соревнования (мужчины, женщины)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36B39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России</w:t>
            </w:r>
            <w:r w:rsidR="00836B39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Первенство России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36B39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962535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83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Кубок России 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36B39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962535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соревнования (молодежь, юниоры, 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E80CCB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E80CCB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DC07F7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80CCB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0B512A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36B39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962535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(Спартакиада России)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0B512A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36B39"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962535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83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Всероссийские спортивные соревнования 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</w:t>
            </w:r>
            <w:proofErr w:type="gramStart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Приволжского</w:t>
            </w:r>
            <w:proofErr w:type="gramEnd"/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 округа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Самарской области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Межмуниципальные соревнования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0B512A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80CCB" w:rsidRPr="00962535" w:rsidTr="00E80CCB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E80CCB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городского округа Кинель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E80CCB" w:rsidRPr="00962535" w:rsidRDefault="00836B39" w:rsidP="00E80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32ED8" w:rsidRPr="00A32ED8" w:rsidRDefault="00A32ED8" w:rsidP="00962535">
      <w:pPr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962535" w:rsidRDefault="00962535" w:rsidP="0096253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836B39" w:rsidRPr="00962535" w:rsidRDefault="00836B39" w:rsidP="00A440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2ED8" w:rsidRPr="00962535" w:rsidRDefault="00A32ED8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Условия присвоения звания лучшего специалиста в области физической культуры и спорта в номинации «Команда года» в зимних и летних видах спорта</w:t>
      </w:r>
    </w:p>
    <w:p w:rsidR="00A32ED8" w:rsidRPr="00962535" w:rsidRDefault="00A32ED8" w:rsidP="00962535">
      <w:pPr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 оценки и условия подсчета результатов</w:t>
      </w:r>
    </w:p>
    <w:tbl>
      <w:tblPr>
        <w:tblpPr w:leftFromText="180" w:rightFromText="180" w:vertAnchor="text" w:horzAnchor="margin" w:tblpXSpec="center" w:tblpY="206"/>
        <w:tblW w:w="11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5502"/>
        <w:gridCol w:w="1251"/>
        <w:gridCol w:w="1251"/>
        <w:gridCol w:w="1251"/>
        <w:gridCol w:w="1326"/>
      </w:tblGrid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место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место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 места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соревнования (мужчины, женщины)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России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России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соревнования (молодежь, юниоры, 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(Спартакиада России)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Всероссийская Универсиада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Всероссийские спортивные соревнования 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0B512A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Приволжского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 округа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0B512A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62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Самарской области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Межмуниципальные соревнования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62535" w:rsidRPr="00A32ED8" w:rsidTr="00962535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городского округа Кинель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962535" w:rsidRPr="00A32ED8" w:rsidRDefault="00962535" w:rsidP="0096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A32ED8" w:rsidRPr="00775087" w:rsidRDefault="00A32ED8" w:rsidP="00962535">
      <w:pPr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B39" w:rsidRPr="00775087" w:rsidRDefault="00A32ED8" w:rsidP="00775087">
      <w:pPr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Примечание:</w:t>
      </w:r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1. Начисление очков за участие в спортивных соревнованиях по видам спорта, не включенных в программы Олимпийских/</w:t>
      </w:r>
      <w:proofErr w:type="spellStart"/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Паралимпийских</w:t>
      </w:r>
      <w:proofErr w:type="spellEnd"/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/ </w:t>
      </w:r>
      <w:proofErr w:type="spellStart"/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Сурдлимпийских</w:t>
      </w:r>
      <w:proofErr w:type="spellEnd"/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игр производится с коэффициентом 0,5;</w:t>
      </w:r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 xml:space="preserve">2. К официальным международным соревнованиям </w:t>
      </w:r>
      <w:proofErr w:type="gramStart"/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относятся</w:t>
      </w:r>
      <w:proofErr w:type="gramEnd"/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 том числе международные клубные соревнования по игровым видам спорта, проводимые под эгидой международных спортивных федераций.</w:t>
      </w:r>
      <w:r w:rsidRPr="0077508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2 -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</w:r>
      <w:r w:rsidR="00775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087" w:rsidRDefault="00A32ED8" w:rsidP="00775087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7508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Условия присвоения звания лучшего специалиста в области физической культуры и спорта в номинации «Тренер года», в группе «Тренер по летним видам спорта», «Тренер по зимним видам спорта», «Детский тренер», «Тренер по адаптивным видам спорта»</w:t>
      </w:r>
    </w:p>
    <w:p w:rsidR="00A32ED8" w:rsidRPr="00775087" w:rsidRDefault="00A32ED8" w:rsidP="00775087">
      <w:pPr>
        <w:spacing w:before="33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75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критериев оценки и условия подсчета результатов</w:t>
      </w:r>
    </w:p>
    <w:tbl>
      <w:tblPr>
        <w:tblW w:w="108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6896"/>
        <w:gridCol w:w="1710"/>
        <w:gridCol w:w="1233"/>
      </w:tblGrid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 официального спортивного соревнования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Занятое место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A32ED8" w:rsidRPr="00A32ED8" w:rsidTr="00A32ED8">
        <w:tc>
          <w:tcPr>
            <w:tcW w:w="10872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Личные соревнования, включая эстафеты, группы, пары, экипажи и т. п.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мира (финал)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Европы (финал)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России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России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России (финал)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всероссийские спортивные соревнования (мужчины, женщины)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спортивные соревнования (молодежь, юниоры, 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всероссийские спортивные соревнования (молодежь, юниоры, 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32ED8" w:rsidRPr="00A32ED8" w:rsidTr="00A32ED8">
        <w:tc>
          <w:tcPr>
            <w:tcW w:w="10872" w:type="dxa"/>
            <w:gridSpan w:val="4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Соревнования в командных игровых видах спорта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Олимпийские/</w:t>
            </w:r>
            <w:proofErr w:type="spell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Паралимпийские</w:t>
            </w:r>
            <w:proofErr w:type="spell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мира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России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Европы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A32ED8" w:rsidRPr="00A32ED8" w:rsidTr="00DB7D67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A32ED8" w:rsidRPr="00A32ED8" w:rsidTr="00DB7D67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спортивные соревнования (мужчины, женщины)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мира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Европы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спортивные соревнования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Официальные международные спортивные соревнования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России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(молодежь, юниоры)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A32ED8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России (юноши)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4-6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32ED8" w:rsidRPr="00A32ED8" w:rsidRDefault="00A32ED8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B7D67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ПФО 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B7D67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Самарской области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B7D67" w:rsidRPr="00A32ED8" w:rsidTr="00DB7D67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городского округа Кинель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123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DB7D67" w:rsidRPr="00A32ED8" w:rsidRDefault="00DB7D67" w:rsidP="00A3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32ED8" w:rsidRPr="00DB7D67" w:rsidRDefault="00A32ED8" w:rsidP="0043197C">
      <w:pPr>
        <w:spacing w:after="0" w:line="319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Юношеские Олимпийские игры приравниваются к первенству мира в соответствующей возрастной группе. Европейский юношеский олимпийский фестиваль приравнивается к первенству Европы в соответствующей возрастной группе. Всемирная универсиада приравнивается к официальным международным спортивным соревнованиям. Всероссийская универсиада приравнивается к официальным всероссийским спортивным соревнованиям. Спартакиада учащихся и спартакиада молодежи приравниваются к первенству России в соответствующей возрастной группе. Соревнования на Кубок Президента Российской Федерации приравниваются к чемпионату России;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коман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дных видах спорта и дисциплинах</w:t>
      </w: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начисление баллов производится с коэффициентами: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2 спортсмена - коэффициент 1,5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3-х до 5-ти спортсменов - коэффициент 2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6-ти до 10-ти спортсменов - коэффициент 3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11 и более спортсменов - коэффициент 4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каждого спортсмена в командных дисциплинах и видах спорта определяется посредством деления количества баллов (с учетом коэффициента) на количество участников команды;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очков за участие в спортивных соревнованиях, в спортивных дисциплинах, не включенных в программу Олимпийских игр, производится с коэффициентом 0,5;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Баллы начисляются на основании официальных протоколов спортивных соревнований, включенных в Единый календарный план межрегиональных, всероссийских и международных физкультурных мероприятий и спортивных мероприятий, утвержденный </w:t>
      </w:r>
      <w:r w:rsidR="00560A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 </w:t>
      </w:r>
      <w:proofErr w:type="spellStart"/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Минспорттуризмом</w:t>
      </w:r>
      <w:proofErr w:type="spellEnd"/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</w:t>
      </w:r>
    </w:p>
    <w:p w:rsidR="00A32ED8" w:rsidRPr="00DB7D67" w:rsidRDefault="00A32ED8" w:rsidP="00A32ED8">
      <w:pPr>
        <w:numPr>
          <w:ilvl w:val="0"/>
          <w:numId w:val="8"/>
        </w:numPr>
        <w:spacing w:after="0" w:line="319" w:lineRule="atLeast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7D6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Звание лучшего специалиста в области физической культуры и спорта в номинации тренер года присваивается спортивным тренерам, при условии, что стаж работы со спортсменом и (или) командой на различных этапах спортивной подготовки составляет не менее двух лет подряд (для командных игровых видов спорта на этапах работы с юношескими и юниорскими составами спортивных команд - не менее двух лет подряд).</w:t>
      </w:r>
      <w:proofErr w:type="gramEnd"/>
    </w:p>
    <w:p w:rsidR="00962535" w:rsidRDefault="00962535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962535" w:rsidRDefault="00962535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962535" w:rsidRDefault="00962535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962535" w:rsidRDefault="00962535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775087" w:rsidRDefault="00775087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775087" w:rsidRDefault="00775087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775087" w:rsidRDefault="00775087" w:rsidP="00A32E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1646A"/>
          <w:sz w:val="28"/>
          <w:szCs w:val="28"/>
          <w:lang w:eastAsia="ru-RU"/>
        </w:rPr>
      </w:pPr>
    </w:p>
    <w:p w:rsidR="00A32ED8" w:rsidRPr="00A32ED8" w:rsidRDefault="00A32ED8" w:rsidP="00DB7D67">
      <w:pPr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106CA9" w:rsidRDefault="00106CA9" w:rsidP="003F62BA">
      <w:pPr>
        <w:spacing w:before="33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2ED8" w:rsidRPr="00A44081" w:rsidRDefault="00A32ED8" w:rsidP="00A32ED8">
      <w:pPr>
        <w:spacing w:before="33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4408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Условия присвоения звания лучшего специалиста в области физической культуры и спорта в номинации «Преподаватель (учитель) физической культуры»</w:t>
      </w:r>
    </w:p>
    <w:p w:rsidR="00A32ED8" w:rsidRPr="00A32ED8" w:rsidRDefault="00A32ED8" w:rsidP="00A44081">
      <w:pPr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A32ED8" w:rsidRPr="00A44081" w:rsidRDefault="00A32ED8" w:rsidP="00A44081">
      <w:pPr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0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 оценки и условия подсчета результатов</w:t>
      </w:r>
    </w:p>
    <w:tbl>
      <w:tblPr>
        <w:tblpPr w:leftFromText="180" w:rightFromText="180" w:vertAnchor="text" w:horzAnchor="margin" w:tblpXSpec="center" w:tblpY="176"/>
        <w:tblW w:w="112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6055"/>
        <w:gridCol w:w="3037"/>
        <w:gridCol w:w="1233"/>
      </w:tblGrid>
      <w:tr w:rsidR="00A44081" w:rsidRPr="00A32ED8" w:rsidTr="00A44081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A44081" w:rsidRPr="00A32ED8" w:rsidTr="00A44081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 в муниципальном либо отраслевом конкурсе (этапе) Всероссийского или регионального конкурса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44081" w:rsidRPr="00A32ED8" w:rsidTr="00A44081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 в региональном конкурсе либо региональный этап Всероссийского конкурса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44081" w:rsidRPr="00A32ED8" w:rsidTr="00A44081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 в зональном (окружном)* конкурсе либо зональном (окружном этапе всероссийского конкурса)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44081" w:rsidRPr="00A32ED8" w:rsidTr="00A44081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участия во Всероссийском конкурсе (либо финал Всероссийского конкурса)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лауреат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44081" w:rsidRPr="00A32ED8" w:rsidTr="00A44081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Научно-методическая работа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4-8</w:t>
            </w:r>
          </w:p>
        </w:tc>
      </w:tr>
      <w:tr w:rsidR="00A44081" w:rsidRPr="00A32ED8" w:rsidTr="00A44081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Учёное звание (Степень)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 наук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 наук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A44081" w:rsidRPr="00A32ED8" w:rsidTr="00A44081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работа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секций </w:t>
            </w:r>
            <w:proofErr w:type="gramStart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видим спорта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соревнований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прочих мероприятий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44081" w:rsidRPr="00A32ED8" w:rsidTr="00A44081"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учащихся в соревнованиях, турнирах конкурсах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44081" w:rsidRPr="00A32ED8" w:rsidTr="00A44081"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vAlign w:val="center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A44081" w:rsidRPr="00A32ED8" w:rsidRDefault="00A44081" w:rsidP="00A44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2E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A32ED8" w:rsidRPr="00A32ED8" w:rsidRDefault="00A32ED8" w:rsidP="00A44081">
      <w:pPr>
        <w:spacing w:after="0" w:line="319" w:lineRule="atLeast"/>
        <w:ind w:left="360"/>
        <w:textAlignment w:val="baseline"/>
        <w:rPr>
          <w:rFonts w:ascii="Times New Roman" w:eastAsia="Times New Roman" w:hAnsi="Times New Roman" w:cs="Times New Roman"/>
          <w:color w:val="2D3038"/>
          <w:sz w:val="28"/>
          <w:szCs w:val="28"/>
          <w:lang w:eastAsia="ru-RU"/>
        </w:rPr>
      </w:pPr>
    </w:p>
    <w:p w:rsidR="00182EFD" w:rsidRPr="00A32ED8" w:rsidRDefault="00182EFD">
      <w:pPr>
        <w:rPr>
          <w:rFonts w:ascii="Times New Roman" w:hAnsi="Times New Roman" w:cs="Times New Roman"/>
          <w:sz w:val="28"/>
          <w:szCs w:val="28"/>
        </w:rPr>
      </w:pPr>
    </w:p>
    <w:sectPr w:rsidR="00182EFD" w:rsidRPr="00A32ED8" w:rsidSect="003F62B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A64" w:rsidRDefault="00382A64" w:rsidP="00502448">
      <w:pPr>
        <w:spacing w:after="0" w:line="240" w:lineRule="auto"/>
      </w:pPr>
      <w:r>
        <w:separator/>
      </w:r>
    </w:p>
  </w:endnote>
  <w:endnote w:type="continuationSeparator" w:id="0">
    <w:p w:rsidR="00382A64" w:rsidRDefault="00382A64" w:rsidP="0050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A64" w:rsidRDefault="00382A64" w:rsidP="00502448">
      <w:pPr>
        <w:spacing w:after="0" w:line="240" w:lineRule="auto"/>
      </w:pPr>
      <w:r>
        <w:separator/>
      </w:r>
    </w:p>
  </w:footnote>
  <w:footnote w:type="continuationSeparator" w:id="0">
    <w:p w:rsidR="00382A64" w:rsidRDefault="00382A64" w:rsidP="0050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A5254"/>
    <w:multiLevelType w:val="multilevel"/>
    <w:tmpl w:val="589CDA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5D7C53"/>
    <w:multiLevelType w:val="multilevel"/>
    <w:tmpl w:val="A5E02A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C73301"/>
    <w:multiLevelType w:val="hybridMultilevel"/>
    <w:tmpl w:val="D194A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B6F45"/>
    <w:multiLevelType w:val="multilevel"/>
    <w:tmpl w:val="02B2E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503058"/>
    <w:multiLevelType w:val="multilevel"/>
    <w:tmpl w:val="A0F67E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9A6C37"/>
    <w:multiLevelType w:val="multilevel"/>
    <w:tmpl w:val="875AF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42F9A"/>
    <w:multiLevelType w:val="multilevel"/>
    <w:tmpl w:val="D410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37C38"/>
    <w:multiLevelType w:val="multilevel"/>
    <w:tmpl w:val="A2A0816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6E53DBF"/>
    <w:multiLevelType w:val="multilevel"/>
    <w:tmpl w:val="2212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22051B"/>
    <w:multiLevelType w:val="multilevel"/>
    <w:tmpl w:val="376A4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757768"/>
    <w:multiLevelType w:val="multilevel"/>
    <w:tmpl w:val="DA5C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01467D"/>
    <w:multiLevelType w:val="multilevel"/>
    <w:tmpl w:val="CAB047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FF2EF5"/>
    <w:multiLevelType w:val="multilevel"/>
    <w:tmpl w:val="78B6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A46A35"/>
    <w:multiLevelType w:val="multilevel"/>
    <w:tmpl w:val="8AB26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E7A3896"/>
    <w:multiLevelType w:val="multilevel"/>
    <w:tmpl w:val="3028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F53894"/>
    <w:multiLevelType w:val="multilevel"/>
    <w:tmpl w:val="978C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931B4C"/>
    <w:multiLevelType w:val="multilevel"/>
    <w:tmpl w:val="C25CF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4733C"/>
    <w:multiLevelType w:val="hybridMultilevel"/>
    <w:tmpl w:val="2CBE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15"/>
  </w:num>
  <w:num w:numId="6">
    <w:abstractNumId w:val="14"/>
  </w:num>
  <w:num w:numId="7">
    <w:abstractNumId w:val="3"/>
  </w:num>
  <w:num w:numId="8">
    <w:abstractNumId w:val="9"/>
  </w:num>
  <w:num w:numId="9">
    <w:abstractNumId w:val="16"/>
  </w:num>
  <w:num w:numId="10">
    <w:abstractNumId w:val="8"/>
  </w:num>
  <w:num w:numId="11">
    <w:abstractNumId w:val="13"/>
  </w:num>
  <w:num w:numId="12">
    <w:abstractNumId w:val="0"/>
  </w:num>
  <w:num w:numId="13">
    <w:abstractNumId w:val="4"/>
  </w:num>
  <w:num w:numId="14">
    <w:abstractNumId w:val="7"/>
  </w:num>
  <w:num w:numId="15">
    <w:abstractNumId w:val="1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80B"/>
    <w:rsid w:val="000676C1"/>
    <w:rsid w:val="00076CDA"/>
    <w:rsid w:val="000B512A"/>
    <w:rsid w:val="000E080B"/>
    <w:rsid w:val="00106CA9"/>
    <w:rsid w:val="00182EFD"/>
    <w:rsid w:val="001B2FFD"/>
    <w:rsid w:val="001C0232"/>
    <w:rsid w:val="00382A64"/>
    <w:rsid w:val="00382C32"/>
    <w:rsid w:val="003B748C"/>
    <w:rsid w:val="003C0B43"/>
    <w:rsid w:val="003F62BA"/>
    <w:rsid w:val="0043197C"/>
    <w:rsid w:val="0044629F"/>
    <w:rsid w:val="00502448"/>
    <w:rsid w:val="00560A96"/>
    <w:rsid w:val="00570318"/>
    <w:rsid w:val="00644534"/>
    <w:rsid w:val="0067612B"/>
    <w:rsid w:val="00682C1D"/>
    <w:rsid w:val="006C0E58"/>
    <w:rsid w:val="006F24EC"/>
    <w:rsid w:val="007034A2"/>
    <w:rsid w:val="00775087"/>
    <w:rsid w:val="00836B39"/>
    <w:rsid w:val="008A1A7D"/>
    <w:rsid w:val="008D2D0F"/>
    <w:rsid w:val="00962535"/>
    <w:rsid w:val="009A3E19"/>
    <w:rsid w:val="00A32ED8"/>
    <w:rsid w:val="00A44081"/>
    <w:rsid w:val="00A541E6"/>
    <w:rsid w:val="00B374FD"/>
    <w:rsid w:val="00BD3654"/>
    <w:rsid w:val="00C00B6D"/>
    <w:rsid w:val="00C51E96"/>
    <w:rsid w:val="00C527C2"/>
    <w:rsid w:val="00D4381C"/>
    <w:rsid w:val="00D64516"/>
    <w:rsid w:val="00D9797F"/>
    <w:rsid w:val="00DB7D67"/>
    <w:rsid w:val="00DC07F7"/>
    <w:rsid w:val="00E30FB2"/>
    <w:rsid w:val="00E45216"/>
    <w:rsid w:val="00E80CCB"/>
    <w:rsid w:val="00F3562E"/>
    <w:rsid w:val="00F4425B"/>
    <w:rsid w:val="00F77071"/>
    <w:rsid w:val="00F95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2D"/>
  </w:style>
  <w:style w:type="paragraph" w:styleId="1">
    <w:name w:val="heading 1"/>
    <w:basedOn w:val="a"/>
    <w:link w:val="10"/>
    <w:uiPriority w:val="9"/>
    <w:qFormat/>
    <w:rsid w:val="00A3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2ED8"/>
  </w:style>
  <w:style w:type="character" w:customStyle="1" w:styleId="apple-converted-space">
    <w:name w:val="apple-converted-space"/>
    <w:basedOn w:val="a0"/>
    <w:rsid w:val="00A32ED8"/>
  </w:style>
  <w:style w:type="character" w:customStyle="1" w:styleId="num">
    <w:name w:val="num"/>
    <w:basedOn w:val="a0"/>
    <w:rsid w:val="00A32ED8"/>
  </w:style>
  <w:style w:type="character" w:customStyle="1" w:styleId="b-header-row-label">
    <w:name w:val="b-header-row-label"/>
    <w:basedOn w:val="a0"/>
    <w:rsid w:val="00A32ED8"/>
  </w:style>
  <w:style w:type="character" w:styleId="a3">
    <w:name w:val="Hyperlink"/>
    <w:basedOn w:val="a0"/>
    <w:uiPriority w:val="99"/>
    <w:semiHidden/>
    <w:unhideWhenUsed/>
    <w:rsid w:val="00A32E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ED8"/>
    <w:rPr>
      <w:color w:val="800080"/>
      <w:u w:val="single"/>
    </w:rPr>
  </w:style>
  <w:style w:type="character" w:customStyle="1" w:styleId="relations">
    <w:name w:val="relations"/>
    <w:basedOn w:val="a0"/>
    <w:rsid w:val="00A32ED8"/>
  </w:style>
  <w:style w:type="character" w:customStyle="1" w:styleId="division">
    <w:name w:val="division"/>
    <w:basedOn w:val="a0"/>
    <w:rsid w:val="00A32ED8"/>
  </w:style>
  <w:style w:type="paragraph" w:styleId="HTML">
    <w:name w:val="HTML Preformatted"/>
    <w:basedOn w:val="a"/>
    <w:link w:val="HTML0"/>
    <w:uiPriority w:val="99"/>
    <w:semiHidden/>
    <w:unhideWhenUsed/>
    <w:rsid w:val="00A32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E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emark">
    <w:name w:val="remark"/>
    <w:basedOn w:val="a"/>
    <w:rsid w:val="00A3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2E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E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2D0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02448"/>
  </w:style>
  <w:style w:type="paragraph" w:styleId="ab">
    <w:name w:val="footer"/>
    <w:basedOn w:val="a"/>
    <w:link w:val="ac"/>
    <w:uiPriority w:val="99"/>
    <w:semiHidden/>
    <w:unhideWhenUsed/>
    <w:rsid w:val="0050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0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2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2E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2E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2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2E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2E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2ED8"/>
  </w:style>
  <w:style w:type="character" w:customStyle="1" w:styleId="apple-converted-space">
    <w:name w:val="apple-converted-space"/>
    <w:basedOn w:val="a0"/>
    <w:rsid w:val="00A32ED8"/>
  </w:style>
  <w:style w:type="character" w:customStyle="1" w:styleId="num">
    <w:name w:val="num"/>
    <w:basedOn w:val="a0"/>
    <w:rsid w:val="00A32ED8"/>
  </w:style>
  <w:style w:type="character" w:customStyle="1" w:styleId="b-header-row-label">
    <w:name w:val="b-header-row-label"/>
    <w:basedOn w:val="a0"/>
    <w:rsid w:val="00A32ED8"/>
  </w:style>
  <w:style w:type="character" w:styleId="a3">
    <w:name w:val="Hyperlink"/>
    <w:basedOn w:val="a0"/>
    <w:uiPriority w:val="99"/>
    <w:semiHidden/>
    <w:unhideWhenUsed/>
    <w:rsid w:val="00A32E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32ED8"/>
    <w:rPr>
      <w:color w:val="800080"/>
      <w:u w:val="single"/>
    </w:rPr>
  </w:style>
  <w:style w:type="character" w:customStyle="1" w:styleId="relations">
    <w:name w:val="relations"/>
    <w:basedOn w:val="a0"/>
    <w:rsid w:val="00A32ED8"/>
  </w:style>
  <w:style w:type="character" w:customStyle="1" w:styleId="division">
    <w:name w:val="division"/>
    <w:basedOn w:val="a0"/>
    <w:rsid w:val="00A32ED8"/>
  </w:style>
  <w:style w:type="paragraph" w:styleId="HTML">
    <w:name w:val="HTML Preformatted"/>
    <w:basedOn w:val="a"/>
    <w:link w:val="HTML0"/>
    <w:uiPriority w:val="99"/>
    <w:semiHidden/>
    <w:unhideWhenUsed/>
    <w:rsid w:val="00A32E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2ED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remark">
    <w:name w:val="remark"/>
    <w:basedOn w:val="a"/>
    <w:rsid w:val="00A3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32ED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3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64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48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3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62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04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2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798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61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3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pravo.ru/comments/28558972/29053796/2/8847094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6A618-054F-4EC1-842A-53D4F961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15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Большаков</dc:creator>
  <cp:keywords/>
  <dc:description/>
  <cp:lastModifiedBy>3</cp:lastModifiedBy>
  <cp:revision>24</cp:revision>
  <cp:lastPrinted>2016-02-15T10:31:00Z</cp:lastPrinted>
  <dcterms:created xsi:type="dcterms:W3CDTF">2015-11-20T07:48:00Z</dcterms:created>
  <dcterms:modified xsi:type="dcterms:W3CDTF">2016-03-02T08:51:00Z</dcterms:modified>
</cp:coreProperties>
</file>