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182"/>
        <w:gridCol w:w="3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37021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17.08.2016г.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37021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2618</w:t>
            </w:r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725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253" w:type="dxa"/>
          <w:trHeight w:val="600"/>
        </w:trPr>
        <w:tc>
          <w:tcPr>
            <w:tcW w:w="6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7257A3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городского округа Кинель </w:t>
            </w:r>
            <w:r w:rsidR="00FB7F9B">
              <w:rPr>
                <w:szCs w:val="28"/>
              </w:rPr>
              <w:t xml:space="preserve">Самарской области </w:t>
            </w:r>
            <w:r>
              <w:rPr>
                <w:szCs w:val="28"/>
              </w:rPr>
              <w:t>от 13.04.2010</w:t>
            </w:r>
            <w:r w:rsidR="00642638">
              <w:rPr>
                <w:szCs w:val="28"/>
              </w:rPr>
              <w:t> </w:t>
            </w:r>
            <w:r>
              <w:rPr>
                <w:szCs w:val="28"/>
              </w:rPr>
              <w:t>г. №</w:t>
            </w:r>
            <w:r w:rsidR="00642638">
              <w:rPr>
                <w:szCs w:val="28"/>
              </w:rPr>
              <w:t> </w:t>
            </w:r>
            <w:r>
              <w:rPr>
                <w:szCs w:val="28"/>
              </w:rPr>
              <w:t>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152B4">
              <w:rPr>
                <w:szCs w:val="28"/>
              </w:rPr>
              <w:t>муниципальной программы городского округа Кинель Самарской области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r w:rsidR="009C1D06">
              <w:rPr>
                <w:szCs w:val="28"/>
              </w:rPr>
              <w:t>Кинель</w:t>
            </w:r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180AFD">
              <w:rPr>
                <w:szCs w:val="28"/>
              </w:rPr>
              <w:t>6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152B4">
              <w:rPr>
                <w:szCs w:val="28"/>
              </w:rPr>
              <w:t xml:space="preserve"> </w:t>
            </w:r>
            <w:r w:rsidR="002152B4" w:rsidRPr="00CA2771">
              <w:rPr>
                <w:szCs w:val="28"/>
              </w:rPr>
              <w:t>(</w:t>
            </w:r>
            <w:r w:rsidR="002152B4">
              <w:rPr>
                <w:szCs w:val="28"/>
              </w:rPr>
              <w:t>в редакциях</w:t>
            </w:r>
            <w:r w:rsidR="00FB7F9B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от</w:t>
            </w:r>
            <w:r w:rsidR="007257A3">
              <w:rPr>
                <w:szCs w:val="28"/>
              </w:rPr>
              <w:t> </w:t>
            </w:r>
            <w:r w:rsidR="002152B4" w:rsidRPr="002152B4">
              <w:rPr>
                <w:szCs w:val="28"/>
              </w:rPr>
              <w:t>26.09.2013</w:t>
            </w:r>
            <w:r w:rsidR="00642638">
              <w:rPr>
                <w:szCs w:val="28"/>
              </w:rPr>
              <w:t> </w:t>
            </w:r>
            <w:r w:rsidR="002152B4" w:rsidRPr="002152B4">
              <w:rPr>
                <w:szCs w:val="28"/>
              </w:rPr>
              <w:t>г.</w:t>
            </w:r>
            <w:r w:rsidR="002152B4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2152B4">
              <w:rPr>
                <w:szCs w:val="28"/>
              </w:rPr>
              <w:t>07.02.2014</w:t>
            </w:r>
            <w:r w:rsidR="00642638">
              <w:rPr>
                <w:szCs w:val="28"/>
              </w:rPr>
              <w:t> </w:t>
            </w:r>
            <w:r w:rsidR="002152B4">
              <w:rPr>
                <w:szCs w:val="28"/>
              </w:rPr>
              <w:t>г.</w:t>
            </w:r>
            <w:r w:rsidR="001C4C63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1C4C63">
              <w:rPr>
                <w:szCs w:val="28"/>
              </w:rPr>
              <w:t>19.05.2014</w:t>
            </w:r>
            <w:r w:rsidR="00642638">
              <w:rPr>
                <w:szCs w:val="28"/>
              </w:rPr>
              <w:t> </w:t>
            </w:r>
            <w:r w:rsidR="001C4C63">
              <w:rPr>
                <w:szCs w:val="28"/>
              </w:rPr>
              <w:t>г.</w:t>
            </w:r>
            <w:r w:rsidR="001E1F67">
              <w:rPr>
                <w:szCs w:val="28"/>
              </w:rPr>
              <w:t xml:space="preserve">, </w:t>
            </w:r>
            <w:r w:rsidR="001E1F67" w:rsidRPr="001E1F67">
              <w:rPr>
                <w:szCs w:val="28"/>
              </w:rPr>
              <w:t>от</w:t>
            </w:r>
            <w:r w:rsidR="007257A3">
              <w:rPr>
                <w:szCs w:val="28"/>
              </w:rPr>
              <w:t> </w:t>
            </w:r>
            <w:r w:rsidR="001E1F67" w:rsidRPr="001E1F67">
              <w:rPr>
                <w:szCs w:val="28"/>
              </w:rPr>
              <w:t>17.09.2014</w:t>
            </w:r>
            <w:r w:rsidR="00642638">
              <w:rPr>
                <w:szCs w:val="28"/>
              </w:rPr>
              <w:t> </w:t>
            </w:r>
            <w:r w:rsidR="001E1F67" w:rsidRPr="001E1F67">
              <w:rPr>
                <w:szCs w:val="28"/>
              </w:rPr>
              <w:t>г.</w:t>
            </w:r>
            <w:r w:rsidR="00AD6ABF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AD6ABF">
              <w:rPr>
                <w:szCs w:val="28"/>
              </w:rPr>
              <w:t>17.12.2014</w:t>
            </w:r>
            <w:r w:rsidR="00642638">
              <w:rPr>
                <w:szCs w:val="28"/>
              </w:rPr>
              <w:t> </w:t>
            </w:r>
            <w:r w:rsidR="00AD6ABF">
              <w:rPr>
                <w:szCs w:val="28"/>
              </w:rPr>
              <w:t>г.</w:t>
            </w:r>
            <w:r w:rsidR="00E618D5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E618D5">
              <w:rPr>
                <w:szCs w:val="28"/>
              </w:rPr>
              <w:t>26.12.2014</w:t>
            </w:r>
            <w:r w:rsidR="00642638">
              <w:rPr>
                <w:szCs w:val="28"/>
              </w:rPr>
              <w:t> </w:t>
            </w:r>
            <w:r w:rsidR="00E618D5">
              <w:rPr>
                <w:szCs w:val="28"/>
              </w:rPr>
              <w:t>г.</w:t>
            </w:r>
            <w:r w:rsidR="00AD0B87">
              <w:rPr>
                <w:szCs w:val="28"/>
              </w:rPr>
              <w:t xml:space="preserve">, </w:t>
            </w:r>
            <w:r w:rsidR="007257A3">
              <w:rPr>
                <w:szCs w:val="28"/>
              </w:rPr>
              <w:t>от </w:t>
            </w:r>
            <w:r w:rsidR="00AD0B87">
              <w:rPr>
                <w:szCs w:val="28"/>
              </w:rPr>
              <w:t>31.03.2015</w:t>
            </w:r>
            <w:r w:rsidR="00642638">
              <w:rPr>
                <w:szCs w:val="28"/>
              </w:rPr>
              <w:t> </w:t>
            </w:r>
            <w:r w:rsidR="00AD0B87">
              <w:rPr>
                <w:szCs w:val="28"/>
              </w:rPr>
              <w:t>г.</w:t>
            </w:r>
            <w:r w:rsidR="00E44B35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E44B35">
              <w:rPr>
                <w:szCs w:val="28"/>
              </w:rPr>
              <w:t>11.06.2015</w:t>
            </w:r>
            <w:r w:rsidR="00642638">
              <w:rPr>
                <w:szCs w:val="28"/>
              </w:rPr>
              <w:t> </w:t>
            </w:r>
            <w:r w:rsidR="00E44B35">
              <w:rPr>
                <w:szCs w:val="28"/>
              </w:rPr>
              <w:t>г.</w:t>
            </w:r>
            <w:r w:rsidR="0079366E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79366E">
              <w:rPr>
                <w:szCs w:val="28"/>
              </w:rPr>
              <w:t>30.12.2015</w:t>
            </w:r>
            <w:r w:rsidR="00642638">
              <w:rPr>
                <w:szCs w:val="28"/>
              </w:rPr>
              <w:t> </w:t>
            </w:r>
            <w:r w:rsidR="0079366E">
              <w:rPr>
                <w:szCs w:val="28"/>
              </w:rPr>
              <w:t>г.</w:t>
            </w:r>
            <w:r w:rsidR="00642638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642638">
              <w:rPr>
                <w:szCs w:val="28"/>
              </w:rPr>
              <w:t>28.03.2016 г.</w:t>
            </w:r>
            <w:r w:rsidR="00D11616">
              <w:rPr>
                <w:szCs w:val="28"/>
              </w:rPr>
              <w:t xml:space="preserve">, </w:t>
            </w:r>
            <w:r w:rsidR="007257A3">
              <w:rPr>
                <w:szCs w:val="28"/>
              </w:rPr>
              <w:t>от </w:t>
            </w:r>
            <w:r w:rsidR="00D11616">
              <w:rPr>
                <w:szCs w:val="28"/>
              </w:rPr>
              <w:t>20.07.2016 г.</w:t>
            </w:r>
            <w:r w:rsidR="002152B4">
              <w:rPr>
                <w:szCs w:val="28"/>
              </w:rPr>
              <w:t>)</w:t>
            </w:r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r>
        <w:rPr>
          <w:szCs w:val="28"/>
        </w:rPr>
        <w:t>В</w:t>
      </w:r>
      <w:r w:rsidR="00E618D5">
        <w:rPr>
          <w:szCs w:val="28"/>
        </w:rPr>
        <w:t xml:space="preserve"> соответствии с </w:t>
      </w:r>
      <w:r w:rsidR="00CD52E5">
        <w:rPr>
          <w:szCs w:val="28"/>
        </w:rPr>
        <w:t xml:space="preserve">решением Думы городского округа Кинель </w:t>
      </w:r>
      <w:r w:rsidR="006233B0">
        <w:rPr>
          <w:szCs w:val="28"/>
        </w:rPr>
        <w:t xml:space="preserve">Самарской области </w:t>
      </w:r>
      <w:r w:rsidR="00CD52E5">
        <w:rPr>
          <w:szCs w:val="28"/>
        </w:rPr>
        <w:t>от 17.12.2015</w:t>
      </w:r>
      <w:r w:rsidR="00642638">
        <w:rPr>
          <w:szCs w:val="28"/>
        </w:rPr>
        <w:t> </w:t>
      </w:r>
      <w:r w:rsidR="00CD52E5">
        <w:rPr>
          <w:szCs w:val="28"/>
        </w:rPr>
        <w:t>г. №</w:t>
      </w:r>
      <w:r w:rsidR="00642638">
        <w:rPr>
          <w:szCs w:val="28"/>
        </w:rPr>
        <w:t> </w:t>
      </w:r>
      <w:r w:rsidR="00CD52E5">
        <w:rPr>
          <w:szCs w:val="28"/>
        </w:rPr>
        <w:t>48 «</w:t>
      </w:r>
      <w:r w:rsidR="00CD52E5" w:rsidRPr="00214B7F">
        <w:rPr>
          <w:szCs w:val="28"/>
        </w:rPr>
        <w:t>О бюджете городского округа Кинель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C7358D" w:rsidRPr="00C7358D">
        <w:rPr>
          <w:szCs w:val="28"/>
        </w:rPr>
        <w:t xml:space="preserve">постановлением администрации городского округа Кинель </w:t>
      </w:r>
      <w:r w:rsidR="006233B0">
        <w:rPr>
          <w:szCs w:val="28"/>
        </w:rPr>
        <w:t xml:space="preserve">Самарской области </w:t>
      </w:r>
      <w:r w:rsidR="00C7358D" w:rsidRPr="00C7358D">
        <w:rPr>
          <w:szCs w:val="28"/>
        </w:rPr>
        <w:t>от 07.03.2014</w:t>
      </w:r>
      <w:r w:rsidR="00642638">
        <w:rPr>
          <w:szCs w:val="28"/>
        </w:rPr>
        <w:t> </w:t>
      </w:r>
      <w:r w:rsidR="00C7358D" w:rsidRPr="00C7358D">
        <w:rPr>
          <w:szCs w:val="28"/>
        </w:rPr>
        <w:t>г. №</w:t>
      </w:r>
      <w:r w:rsidR="00642638">
        <w:rPr>
          <w:szCs w:val="28"/>
        </w:rPr>
        <w:t> </w:t>
      </w:r>
      <w:r w:rsidR="00C7358D" w:rsidRPr="00C7358D">
        <w:rPr>
          <w:szCs w:val="28"/>
        </w:rPr>
        <w:t>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  <w:r w:rsidR="00642638">
        <w:rPr>
          <w:szCs w:val="28"/>
        </w:rPr>
        <w:t>,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</w:t>
      </w:r>
      <w:r w:rsidR="006233B0">
        <w:rPr>
          <w:szCs w:val="28"/>
        </w:rPr>
        <w:t xml:space="preserve">Самарской области </w:t>
      </w:r>
      <w:r>
        <w:rPr>
          <w:szCs w:val="28"/>
        </w:rPr>
        <w:t>от 13.04.2010</w:t>
      </w:r>
      <w:r w:rsidR="00642638">
        <w:rPr>
          <w:szCs w:val="28"/>
        </w:rPr>
        <w:t> </w:t>
      </w:r>
      <w:r>
        <w:rPr>
          <w:szCs w:val="28"/>
        </w:rPr>
        <w:t>г. №</w:t>
      </w:r>
      <w:r w:rsidR="006233B0">
        <w:rPr>
          <w:szCs w:val="28"/>
        </w:rPr>
        <w:t> </w:t>
      </w:r>
      <w:r>
        <w:rPr>
          <w:szCs w:val="28"/>
        </w:rPr>
        <w:t>1045 «</w:t>
      </w:r>
      <w:r w:rsidRPr="009C1D06">
        <w:rPr>
          <w:szCs w:val="28"/>
        </w:rPr>
        <w:t xml:space="preserve">Об </w:t>
      </w:r>
      <w:r>
        <w:rPr>
          <w:szCs w:val="28"/>
        </w:rPr>
        <w:t>утверждении муниципальной программы городского округа Кинель Самарской области</w:t>
      </w:r>
      <w:r w:rsidRPr="009C1D06">
        <w:rPr>
          <w:szCs w:val="28"/>
        </w:rPr>
        <w:t xml:space="preserve"> </w:t>
      </w:r>
      <w:r>
        <w:rPr>
          <w:szCs w:val="28"/>
        </w:rPr>
        <w:t>«Модернизация объектов коммунальной инфраструктуры городского округа Кинель</w:t>
      </w:r>
      <w:r w:rsidRPr="009C1D06">
        <w:rPr>
          <w:szCs w:val="28"/>
        </w:rPr>
        <w:t xml:space="preserve"> на 20</w:t>
      </w:r>
      <w:r>
        <w:rPr>
          <w:szCs w:val="28"/>
        </w:rPr>
        <w:t xml:space="preserve">10-2016 годы» </w:t>
      </w:r>
      <w:r w:rsidR="006233B0" w:rsidRPr="00CA2771">
        <w:rPr>
          <w:szCs w:val="28"/>
        </w:rPr>
        <w:t>(</w:t>
      </w:r>
      <w:r w:rsidR="006233B0">
        <w:rPr>
          <w:szCs w:val="28"/>
        </w:rPr>
        <w:t xml:space="preserve">в редакциях </w:t>
      </w:r>
      <w:r w:rsidR="006233B0" w:rsidRPr="002152B4">
        <w:rPr>
          <w:szCs w:val="28"/>
        </w:rPr>
        <w:t>от</w:t>
      </w:r>
      <w:r w:rsidR="006233B0">
        <w:rPr>
          <w:szCs w:val="28"/>
        </w:rPr>
        <w:t xml:space="preserve"> </w:t>
      </w:r>
      <w:r w:rsidR="006233B0" w:rsidRPr="002152B4">
        <w:rPr>
          <w:szCs w:val="28"/>
        </w:rPr>
        <w:t>26.09.2013</w:t>
      </w:r>
      <w:r w:rsidR="006233B0">
        <w:rPr>
          <w:szCs w:val="28"/>
        </w:rPr>
        <w:t> </w:t>
      </w:r>
      <w:r w:rsidR="006233B0" w:rsidRPr="002152B4">
        <w:rPr>
          <w:szCs w:val="28"/>
        </w:rPr>
        <w:t>г.</w:t>
      </w:r>
      <w:r w:rsidR="006233B0">
        <w:rPr>
          <w:szCs w:val="28"/>
        </w:rPr>
        <w:t xml:space="preserve">, от 07.02.2014 г., от 19.05.2014 г., </w:t>
      </w:r>
      <w:r w:rsidR="006233B0" w:rsidRPr="001E1F67">
        <w:rPr>
          <w:szCs w:val="28"/>
        </w:rPr>
        <w:t>от</w:t>
      </w:r>
      <w:r w:rsidR="006233B0">
        <w:rPr>
          <w:szCs w:val="28"/>
        </w:rPr>
        <w:t xml:space="preserve"> </w:t>
      </w:r>
      <w:r w:rsidR="006233B0" w:rsidRPr="001E1F67">
        <w:rPr>
          <w:szCs w:val="28"/>
        </w:rPr>
        <w:t>17.09.2014</w:t>
      </w:r>
      <w:r w:rsidR="006233B0">
        <w:rPr>
          <w:szCs w:val="28"/>
        </w:rPr>
        <w:t> </w:t>
      </w:r>
      <w:r w:rsidR="006233B0" w:rsidRPr="001E1F67">
        <w:rPr>
          <w:szCs w:val="28"/>
        </w:rPr>
        <w:t>г.</w:t>
      </w:r>
      <w:r w:rsidR="006233B0">
        <w:rPr>
          <w:szCs w:val="28"/>
        </w:rPr>
        <w:t xml:space="preserve">, от 17.12.2014 г., от 26.12.2014 г., 31.03.2015 г., </w:t>
      </w:r>
      <w:r w:rsidR="006233B0">
        <w:rPr>
          <w:szCs w:val="28"/>
        </w:rPr>
        <w:lastRenderedPageBreak/>
        <w:t>от 11.06.2015 г., от 30.12.2015 г., от 28.03.2016 г.</w:t>
      </w:r>
      <w:r w:rsidR="005E1E4A">
        <w:rPr>
          <w:szCs w:val="28"/>
        </w:rPr>
        <w:t>, от 20.07.2016 г.</w:t>
      </w:r>
      <w:r w:rsidR="006233B0">
        <w:rPr>
          <w:szCs w:val="28"/>
        </w:rPr>
        <w:t>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6233B0">
        <w:rPr>
          <w:szCs w:val="28"/>
        </w:rPr>
        <w:t>приложении:</w:t>
      </w:r>
    </w:p>
    <w:p w:rsidR="009763DF" w:rsidRDefault="00642638" w:rsidP="009763DF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9763DF">
        <w:rPr>
          <w:szCs w:val="28"/>
        </w:rPr>
        <w:t xml:space="preserve">в разделе «Объемы и источники финансирования, мероприятий, определенных муниципальной программой» </w:t>
      </w:r>
      <w:r w:rsidR="009763DF">
        <w:rPr>
          <w:szCs w:val="28"/>
        </w:rPr>
        <w:t xml:space="preserve">паспорта Программы </w:t>
      </w:r>
      <w:r w:rsidRPr="009763DF">
        <w:rPr>
          <w:szCs w:val="28"/>
        </w:rPr>
        <w:t>цифру «</w:t>
      </w:r>
      <w:r w:rsidR="00D11616" w:rsidRPr="009763DF">
        <w:rPr>
          <w:szCs w:val="28"/>
        </w:rPr>
        <w:t>860 520,50</w:t>
      </w:r>
      <w:r w:rsidRPr="009763DF">
        <w:rPr>
          <w:szCs w:val="28"/>
        </w:rPr>
        <w:t>» заменить цифрой «</w:t>
      </w:r>
      <w:r w:rsidR="005E1E4A">
        <w:rPr>
          <w:szCs w:val="28"/>
        </w:rPr>
        <w:t>857 870,50</w:t>
      </w:r>
      <w:r w:rsidRPr="009763DF">
        <w:rPr>
          <w:szCs w:val="28"/>
        </w:rPr>
        <w:t>», цифру «</w:t>
      </w:r>
      <w:r w:rsidR="00D11616" w:rsidRPr="009763DF">
        <w:rPr>
          <w:szCs w:val="28"/>
        </w:rPr>
        <w:t>89 296,01</w:t>
      </w:r>
      <w:r w:rsidRPr="009763DF">
        <w:rPr>
          <w:szCs w:val="28"/>
        </w:rPr>
        <w:t>» заменить цифрой «</w:t>
      </w:r>
      <w:r w:rsidR="005E1E4A">
        <w:rPr>
          <w:szCs w:val="28"/>
        </w:rPr>
        <w:t>87 746,01</w:t>
      </w:r>
      <w:r w:rsidRPr="009763DF">
        <w:rPr>
          <w:szCs w:val="28"/>
        </w:rPr>
        <w:t>», цифру «</w:t>
      </w:r>
      <w:r w:rsidR="00D11616" w:rsidRPr="009763DF">
        <w:rPr>
          <w:szCs w:val="28"/>
        </w:rPr>
        <w:t>12 396,30</w:t>
      </w:r>
      <w:r w:rsidRPr="009763DF">
        <w:rPr>
          <w:szCs w:val="28"/>
        </w:rPr>
        <w:t>» заменить цифрой «</w:t>
      </w:r>
      <w:r w:rsidR="005E1E4A">
        <w:rPr>
          <w:szCs w:val="28"/>
        </w:rPr>
        <w:t>10 846,30</w:t>
      </w:r>
      <w:r w:rsidRPr="009763DF">
        <w:rPr>
          <w:szCs w:val="28"/>
        </w:rPr>
        <w:t>», цифру «</w:t>
      </w:r>
      <w:r w:rsidR="00D11616" w:rsidRPr="009763DF">
        <w:rPr>
          <w:szCs w:val="28"/>
        </w:rPr>
        <w:t>771 224,49</w:t>
      </w:r>
      <w:r w:rsidRPr="009763DF">
        <w:rPr>
          <w:szCs w:val="28"/>
        </w:rPr>
        <w:t>» заменить цифрой «</w:t>
      </w:r>
      <w:r w:rsidR="005E1E4A">
        <w:rPr>
          <w:szCs w:val="28"/>
        </w:rPr>
        <w:t>770 124,49</w:t>
      </w:r>
      <w:r w:rsidRPr="009763DF">
        <w:rPr>
          <w:szCs w:val="28"/>
        </w:rPr>
        <w:t>», цифру «</w:t>
      </w:r>
      <w:r w:rsidR="00D11616" w:rsidRPr="009763DF">
        <w:rPr>
          <w:szCs w:val="28"/>
        </w:rPr>
        <w:t>15 164,36</w:t>
      </w:r>
      <w:r w:rsidRPr="009763DF">
        <w:rPr>
          <w:szCs w:val="28"/>
        </w:rPr>
        <w:t>» заменить цифрой «</w:t>
      </w:r>
      <w:r w:rsidR="005E1E4A">
        <w:rPr>
          <w:szCs w:val="28"/>
        </w:rPr>
        <w:t>14 064,36</w:t>
      </w:r>
      <w:r w:rsidRPr="009763DF">
        <w:rPr>
          <w:szCs w:val="28"/>
        </w:rPr>
        <w:t>»</w:t>
      </w:r>
      <w:r w:rsidR="009763DF" w:rsidRPr="009763DF">
        <w:rPr>
          <w:szCs w:val="28"/>
        </w:rPr>
        <w:t>.</w:t>
      </w:r>
    </w:p>
    <w:p w:rsidR="009763DF" w:rsidRPr="009763DF" w:rsidRDefault="009763DF" w:rsidP="009763DF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t xml:space="preserve">во втором абзаце </w:t>
      </w:r>
      <w:r w:rsidRPr="00326D01">
        <w:t>раздел</w:t>
      </w:r>
      <w:r>
        <w:t>а</w:t>
      </w:r>
      <w:r w:rsidRPr="00326D01">
        <w:t xml:space="preserve"> </w:t>
      </w:r>
      <w:r>
        <w:t xml:space="preserve">5 «Обоснование ресурсного обеспечения Программы» </w:t>
      </w:r>
      <w:r w:rsidRPr="008D310E">
        <w:t>цифру «</w:t>
      </w:r>
      <w:r w:rsidR="00D11616">
        <w:t>860 520,50</w:t>
      </w:r>
      <w:r w:rsidRPr="008D310E">
        <w:t>» заменить цифрой «</w:t>
      </w:r>
      <w:r w:rsidR="005E1E4A">
        <w:t>857 870,50</w:t>
      </w:r>
      <w:r w:rsidRPr="008D310E">
        <w:t>», цифру «</w:t>
      </w:r>
      <w:r w:rsidR="00D11616">
        <w:t>89 296,01</w:t>
      </w:r>
      <w:r w:rsidRPr="008D310E">
        <w:t xml:space="preserve">» заменить цифрой </w:t>
      </w:r>
      <w:r>
        <w:t>«</w:t>
      </w:r>
      <w:r w:rsidR="005E1E4A">
        <w:t>87 746,01</w:t>
      </w:r>
      <w:r>
        <w:t>», цифру «</w:t>
      </w:r>
      <w:r w:rsidR="00D11616">
        <w:t>771 224,49</w:t>
      </w:r>
      <w:r>
        <w:t>» заменить цифрой «</w:t>
      </w:r>
      <w:r w:rsidR="005E1E4A">
        <w:t>770 124,49</w:t>
      </w:r>
      <w:r>
        <w:t>».</w:t>
      </w:r>
    </w:p>
    <w:p w:rsidR="00842CF5" w:rsidRPr="007F7E77" w:rsidRDefault="007F7E77" w:rsidP="007F7E77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7F7E77">
        <w:rPr>
          <w:szCs w:val="28"/>
        </w:rPr>
        <w:t>Приложение №1</w:t>
      </w:r>
      <w:r>
        <w:rPr>
          <w:szCs w:val="28"/>
        </w:rPr>
        <w:t xml:space="preserve"> </w:t>
      </w:r>
      <w:r w:rsidRPr="007F7E77">
        <w:rPr>
          <w:szCs w:val="28"/>
        </w:rPr>
        <w:t>к муниципальной программе городского округа Кинель Самарской области «Модернизация объектов коммунальной инфраструктуры городского округа Кинель на 2010-2016 годы»</w:t>
      </w:r>
      <w:r w:rsidR="003141E1">
        <w:rPr>
          <w:szCs w:val="28"/>
        </w:rPr>
        <w:t xml:space="preserve"> </w:t>
      </w:r>
      <w:r>
        <w:rPr>
          <w:szCs w:val="28"/>
        </w:rPr>
        <w:t>изложить в редакции согласно приложению № 1 к настоящему постановлению</w:t>
      </w:r>
      <w:r w:rsidR="00842CF5" w:rsidRPr="007F7E77">
        <w:rPr>
          <w:szCs w:val="28"/>
        </w:rPr>
        <w:t>: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E5108D" w:rsidRDefault="00E5108D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E5108D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0524A8">
        <w:rPr>
          <w:szCs w:val="28"/>
        </w:rPr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r w:rsidR="00A406A2">
        <w:rPr>
          <w:szCs w:val="28"/>
        </w:rPr>
        <w:t>А.А.Прокудина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1"/>
    <w:p w:rsidR="00B9643F" w:rsidRDefault="00B9643F" w:rsidP="005A1C36">
      <w:pPr>
        <w:jc w:val="both"/>
        <w:rPr>
          <w:szCs w:val="28"/>
        </w:rPr>
      </w:pPr>
    </w:p>
    <w:p w:rsidR="00C7358D" w:rsidRDefault="00C7358D" w:rsidP="005A1C36">
      <w:pPr>
        <w:jc w:val="both"/>
        <w:rPr>
          <w:szCs w:val="28"/>
        </w:rPr>
      </w:pPr>
    </w:p>
    <w:p w:rsidR="007257A3" w:rsidRDefault="007257A3" w:rsidP="005A1C36">
      <w:pPr>
        <w:jc w:val="both"/>
        <w:rPr>
          <w:szCs w:val="28"/>
        </w:rPr>
      </w:pPr>
    </w:p>
    <w:p w:rsidR="00E5108D" w:rsidRPr="006628FB" w:rsidRDefault="00E510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В.А.Чихирёв</w:t>
      </w:r>
    </w:p>
    <w:p w:rsidR="00384CE3" w:rsidRDefault="00384CE3">
      <w:pPr>
        <w:rPr>
          <w:sz w:val="20"/>
          <w:szCs w:val="28"/>
        </w:rPr>
      </w:pPr>
    </w:p>
    <w:p w:rsidR="007257A3" w:rsidRDefault="007257A3">
      <w:pPr>
        <w:rPr>
          <w:sz w:val="20"/>
          <w:szCs w:val="28"/>
        </w:rPr>
      </w:pPr>
    </w:p>
    <w:p w:rsidR="007257A3" w:rsidRDefault="007257A3">
      <w:pPr>
        <w:rPr>
          <w:sz w:val="20"/>
          <w:szCs w:val="28"/>
        </w:rPr>
      </w:pPr>
    </w:p>
    <w:p w:rsidR="009B5A26" w:rsidRDefault="00665809">
      <w:pPr>
        <w:rPr>
          <w:szCs w:val="28"/>
        </w:rPr>
      </w:pPr>
      <w:r>
        <w:rPr>
          <w:szCs w:val="28"/>
        </w:rPr>
        <w:t>П</w:t>
      </w:r>
      <w:r w:rsidR="00A406A2">
        <w:rPr>
          <w:szCs w:val="28"/>
        </w:rPr>
        <w:t>рокудин 21760</w:t>
      </w:r>
    </w:p>
    <w:p w:rsidR="00EC7C65" w:rsidRDefault="002E20F5">
      <w:pPr>
        <w:rPr>
          <w:szCs w:val="28"/>
        </w:rPr>
      </w:pPr>
      <w:r>
        <w:rPr>
          <w:szCs w:val="28"/>
        </w:rPr>
        <w:t>Москаленко 21698</w:t>
      </w:r>
    </w:p>
    <w:p w:rsidR="00665809" w:rsidRDefault="00665809">
      <w:pPr>
        <w:rPr>
          <w:szCs w:val="28"/>
        </w:rPr>
        <w:sectPr w:rsidR="00665809" w:rsidSect="00EC7C65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  <w:r>
        <w:rPr>
          <w:szCs w:val="28"/>
        </w:rPr>
        <w:t>Рысаева 61751</w:t>
      </w:r>
    </w:p>
    <w:p w:rsidR="002C41CE" w:rsidRDefault="002C41CE" w:rsidP="002C41CE">
      <w:pPr>
        <w:ind w:left="8789"/>
        <w:jc w:val="center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2C41CE" w:rsidRDefault="002C41CE" w:rsidP="002C41CE">
      <w:pPr>
        <w:ind w:left="8789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 Кинель Самарской области</w:t>
      </w:r>
    </w:p>
    <w:p w:rsidR="002C41CE" w:rsidRDefault="002C41CE" w:rsidP="002C41CE">
      <w:pPr>
        <w:ind w:left="8789"/>
        <w:jc w:val="center"/>
        <w:rPr>
          <w:szCs w:val="28"/>
        </w:rPr>
      </w:pPr>
      <w:r>
        <w:rPr>
          <w:szCs w:val="28"/>
        </w:rPr>
        <w:t>от ______________№ ______</w:t>
      </w:r>
    </w:p>
    <w:p w:rsidR="002C41CE" w:rsidRDefault="002C41CE" w:rsidP="002C41CE">
      <w:pPr>
        <w:ind w:left="8789"/>
        <w:jc w:val="center"/>
        <w:rPr>
          <w:szCs w:val="28"/>
        </w:rPr>
      </w:pPr>
    </w:p>
    <w:p w:rsidR="002C41CE" w:rsidRDefault="002C41CE" w:rsidP="002C41CE">
      <w:pPr>
        <w:ind w:left="8789"/>
        <w:jc w:val="center"/>
        <w:rPr>
          <w:szCs w:val="28"/>
        </w:rPr>
      </w:pPr>
    </w:p>
    <w:p w:rsidR="002C41CE" w:rsidRDefault="002C41CE" w:rsidP="002C41CE">
      <w:pPr>
        <w:ind w:left="8789"/>
        <w:jc w:val="center"/>
        <w:rPr>
          <w:szCs w:val="28"/>
        </w:rPr>
      </w:pPr>
      <w:r>
        <w:rPr>
          <w:szCs w:val="28"/>
        </w:rPr>
        <w:t>Приложение №1</w:t>
      </w:r>
    </w:p>
    <w:p w:rsidR="002C41CE" w:rsidRDefault="002C41CE" w:rsidP="002C41CE">
      <w:pPr>
        <w:ind w:left="8789"/>
        <w:jc w:val="center"/>
        <w:rPr>
          <w:szCs w:val="28"/>
        </w:rPr>
      </w:pPr>
      <w:r>
        <w:rPr>
          <w:szCs w:val="28"/>
        </w:rPr>
        <w:t>к муниципальной программе городского округа Кинель Самарской области «Модернизация объектов коммунальной инфраструктуры городского округа Кинель на 2010-20</w:t>
      </w:r>
      <w:r w:rsidRPr="004D4733">
        <w:rPr>
          <w:szCs w:val="28"/>
        </w:rPr>
        <w:t>16</w:t>
      </w:r>
      <w:r>
        <w:rPr>
          <w:szCs w:val="28"/>
        </w:rPr>
        <w:t xml:space="preserve"> годы»</w:t>
      </w:r>
    </w:p>
    <w:p w:rsidR="002C41CE" w:rsidRDefault="002C41CE" w:rsidP="002C41CE">
      <w:pPr>
        <w:ind w:left="10773"/>
        <w:jc w:val="center"/>
        <w:rPr>
          <w:szCs w:val="28"/>
        </w:rPr>
      </w:pPr>
    </w:p>
    <w:p w:rsidR="002C41CE" w:rsidRDefault="002C41CE" w:rsidP="002C41CE">
      <w:pPr>
        <w:ind w:left="10773"/>
        <w:jc w:val="center"/>
        <w:rPr>
          <w:szCs w:val="28"/>
        </w:rPr>
      </w:pPr>
    </w:p>
    <w:p w:rsidR="002C41CE" w:rsidRDefault="002C41CE" w:rsidP="002C41CE">
      <w:pPr>
        <w:shd w:val="clear" w:color="auto" w:fill="FFFFFF"/>
        <w:jc w:val="center"/>
        <w:rPr>
          <w:b/>
          <w:szCs w:val="28"/>
        </w:rPr>
      </w:pPr>
      <w:r w:rsidRPr="00520486">
        <w:rPr>
          <w:b/>
          <w:szCs w:val="28"/>
        </w:rPr>
        <w:t>Перечень программных мероприятий</w:t>
      </w:r>
    </w:p>
    <w:p w:rsidR="002C41CE" w:rsidRDefault="002C41CE" w:rsidP="002C41CE">
      <w:pPr>
        <w:shd w:val="clear" w:color="auto" w:fill="FFFFFF"/>
        <w:jc w:val="center"/>
        <w:rPr>
          <w:b/>
          <w:szCs w:val="28"/>
        </w:rPr>
      </w:pPr>
    </w:p>
    <w:tbl>
      <w:tblPr>
        <w:tblW w:w="498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15"/>
        <w:gridCol w:w="4230"/>
        <w:gridCol w:w="1502"/>
        <w:gridCol w:w="1502"/>
        <w:gridCol w:w="6"/>
        <w:gridCol w:w="1225"/>
        <w:gridCol w:w="1912"/>
        <w:gridCol w:w="1867"/>
        <w:gridCol w:w="1968"/>
      </w:tblGrid>
      <w:tr w:rsidR="002C41CE" w:rsidRPr="005F3764" w:rsidTr="00141A86">
        <w:trPr>
          <w:trHeight w:val="612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ind w:left="-57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№</w:t>
            </w:r>
          </w:p>
          <w:p w:rsidR="002C41CE" w:rsidRPr="005F3764" w:rsidRDefault="002C41CE" w:rsidP="00141A86">
            <w:pPr>
              <w:ind w:left="-57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п/п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Наименование</w:t>
            </w:r>
          </w:p>
          <w:p w:rsidR="002C41CE" w:rsidRPr="005F3764" w:rsidRDefault="002C41CE" w:rsidP="00141A86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Мероприятия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Вводимая мощность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91" w:right="-7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Остаток сметной стоимости на 01.01.2010г., тыс.рублей</w:t>
            </w:r>
          </w:p>
        </w:tc>
        <w:tc>
          <w:tcPr>
            <w:tcW w:w="2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ind w:left="-59" w:right="-84"/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Сроки исполнения и объем финансирования по годам, тыс.рублей</w:t>
            </w:r>
          </w:p>
        </w:tc>
      </w:tr>
      <w:tr w:rsidR="002C41CE" w:rsidRPr="005F3764" w:rsidTr="00FB2BE8">
        <w:trPr>
          <w:trHeight w:val="1260"/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ind w:left="-51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Срок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Всего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в т.ч за счёт средств бюджета городского округа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в т.ч. за счёт средств иных источников финансирования</w:t>
            </w:r>
          </w:p>
        </w:tc>
      </w:tr>
      <w:tr w:rsidR="002C41CE" w:rsidRPr="005F3764" w:rsidTr="00FB2BE8">
        <w:trPr>
          <w:trHeight w:val="92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1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Техническое перевооружение и корректировка проекта строящихся очистных сооружений на насосно-фильтровальной станции г.Кинеля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25 000</w:t>
            </w:r>
          </w:p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куб.м/</w:t>
            </w:r>
          </w:p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сутки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516 694,47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2010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504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63F6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5 881,5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124 622,9</w:t>
            </w:r>
            <w:r>
              <w:rPr>
                <w:sz w:val="24"/>
                <w:szCs w:val="24"/>
              </w:rPr>
              <w:t>0</w:t>
            </w:r>
          </w:p>
        </w:tc>
      </w:tr>
      <w:tr w:rsidR="002C41CE" w:rsidRPr="005F3764" w:rsidTr="00FB2BE8">
        <w:trPr>
          <w:trHeight w:val="20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2011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421</w:t>
            </w:r>
            <w:r>
              <w:rPr>
                <w:color w:val="000000"/>
                <w:sz w:val="24"/>
                <w:szCs w:val="24"/>
              </w:rPr>
              <w:t>,06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  <w:lang w:val="en-US"/>
              </w:rPr>
            </w:pPr>
            <w:r w:rsidRPr="00A63F69">
              <w:rPr>
                <w:sz w:val="24"/>
                <w:szCs w:val="24"/>
                <w:lang w:val="en-US"/>
              </w:rPr>
              <w:t>3 421</w:t>
            </w:r>
            <w:r w:rsidRPr="00A63F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130 000,0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C41CE" w:rsidRPr="005F3764" w:rsidTr="00FB2BE8">
        <w:trPr>
          <w:trHeight w:val="82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179 242,11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B05BA" w:rsidRDefault="002C41CE" w:rsidP="00141A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170 280,0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C41CE" w:rsidRPr="005F3764" w:rsidTr="00FB2BE8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194 294,74</w:t>
            </w:r>
          </w:p>
          <w:p w:rsidR="002C41CE" w:rsidRPr="00A63F69" w:rsidRDefault="002C41CE" w:rsidP="00141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9 714,74</w:t>
            </w:r>
          </w:p>
          <w:p w:rsidR="002C41CE" w:rsidRPr="000A226A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945,00 </w:t>
            </w:r>
            <w:r w:rsidRPr="00180A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184 580,00 </w:t>
            </w:r>
            <w:r w:rsidRPr="00180AFD">
              <w:rPr>
                <w:sz w:val="24"/>
                <w:szCs w:val="24"/>
                <w:vertAlign w:val="superscript"/>
              </w:rPr>
              <w:t>1</w:t>
            </w:r>
          </w:p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1CE" w:rsidRPr="005F3764" w:rsidTr="00FB2BE8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A63F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129 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22,55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129 122,55 </w:t>
            </w:r>
            <w:r w:rsidRPr="00180AFD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2C41CE" w:rsidRPr="005F3764" w:rsidTr="00FB2BE8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BD69EE" w:rsidP="00141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20 918,68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A1789" w:rsidRDefault="00BD69E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8 064,00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12 854,68 </w:t>
            </w:r>
            <w:r w:rsidRPr="004D4733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2C41CE" w:rsidRPr="005F3764" w:rsidTr="00FB2BE8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5E1E4A" w:rsidP="00141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12 864,36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  <w:r w:rsidR="005E1E4A">
              <w:rPr>
                <w:sz w:val="24"/>
                <w:szCs w:val="24"/>
              </w:rPr>
              <w:t>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12 164,36</w:t>
            </w:r>
          </w:p>
        </w:tc>
      </w:tr>
      <w:tr w:rsidR="002C41CE" w:rsidRPr="005F3764" w:rsidTr="00FB2BE8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78736C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водопровода по ул.Полевая, г.Кинель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п.м.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262FCD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1CE" w:rsidRPr="005F3764" w:rsidTr="00FB2BE8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EF2872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5F3764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водопровода по ул.Спортивной, п.г.т.Усть-Кинельский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5F3764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 п.м.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63F69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1CE" w:rsidRPr="00D37443" w:rsidTr="00FB2BE8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EF2872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Замена водопровода на ст.2 подъёма, п.г.т.Алексеевка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п.м.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399,49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399,49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</w:tr>
      <w:tr w:rsidR="002C41CE" w:rsidRPr="00D37443" w:rsidTr="00FB2BE8">
        <w:trPr>
          <w:trHeight w:val="7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Pr="007A0F64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сетей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3 007 п.м.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CE2578" w:rsidRDefault="002C41CE" w:rsidP="00141A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554,98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CE2578" w:rsidRDefault="002C41CE" w:rsidP="00141A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554,98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1CE" w:rsidRPr="00D37443" w:rsidTr="00FB2BE8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1 310 п.м.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10 892,00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AD6ABF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9 292,00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1 600,00 </w:t>
            </w:r>
            <w:r w:rsidRPr="00180AFD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C41CE" w:rsidRPr="00D37443" w:rsidTr="00FB2BE8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 п.м.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E147DE" w:rsidRDefault="00BD69E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20 385,80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E02E11" w:rsidRDefault="00BD69E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17 385,80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3 000,00 </w:t>
            </w:r>
            <w:r w:rsidRPr="00180AFD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C41CE" w:rsidRPr="00D37443" w:rsidTr="00FB2BE8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Default="002C41CE" w:rsidP="00141A86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 п.м.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D37443" w:rsidRDefault="002C41CE" w:rsidP="00141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5E1E4A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9 396,30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7 496,30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5E1E4A" w:rsidP="00141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1 900,00</w:t>
            </w:r>
          </w:p>
        </w:tc>
      </w:tr>
      <w:tr w:rsidR="002C41CE" w:rsidRPr="00D37443" w:rsidTr="00FB2BE8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технико-экономического обоснования по проектированию и реконструкции канализационно-очистных сооружений г.Кинель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3744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2C41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</w:tr>
      <w:tr w:rsidR="002C41CE" w:rsidRPr="00D37443" w:rsidTr="00FB2BE8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технической документации, экспертиза смет, прочие работы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5E1E4A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2 150,00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5E1E4A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2 150,00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Default="002C41CE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1CE" w:rsidRPr="00D37443" w:rsidTr="00FB2BE8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CE" w:rsidRPr="00D37443" w:rsidRDefault="002C41CE" w:rsidP="00141A86">
            <w:pPr>
              <w:jc w:val="center"/>
              <w:rPr>
                <w:b/>
                <w:sz w:val="24"/>
                <w:szCs w:val="24"/>
              </w:rPr>
            </w:pPr>
            <w:r w:rsidRPr="00D37443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06118D" w:rsidRDefault="005E1E4A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857 870,50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CE6DF2" w:rsidRDefault="005E1E4A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87 746,01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1CE" w:rsidRPr="00CF6BF5" w:rsidRDefault="005E1E4A" w:rsidP="00141A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770 124,49</w:t>
            </w:r>
          </w:p>
        </w:tc>
      </w:tr>
    </w:tbl>
    <w:p w:rsidR="002C41CE" w:rsidRPr="00AF033D" w:rsidRDefault="002C41CE" w:rsidP="002C41CE">
      <w:pPr>
        <w:shd w:val="clear" w:color="auto" w:fill="FFFFFF"/>
        <w:rPr>
          <w:szCs w:val="28"/>
        </w:rPr>
      </w:pPr>
    </w:p>
    <w:p w:rsidR="002C41CE" w:rsidRDefault="002C41CE" w:rsidP="002C41CE">
      <w:pPr>
        <w:shd w:val="clear" w:color="auto" w:fill="FFFFFF"/>
        <w:jc w:val="both"/>
        <w:rPr>
          <w:szCs w:val="28"/>
        </w:rPr>
      </w:pPr>
      <w:r w:rsidRPr="00180AFD">
        <w:rPr>
          <w:szCs w:val="28"/>
          <w:vertAlign w:val="superscript"/>
        </w:rPr>
        <w:t>1</w:t>
      </w:r>
      <w:r>
        <w:rPr>
          <w:szCs w:val="28"/>
        </w:rPr>
        <w:t xml:space="preserve"> – средства, формируемые за счет средств </w:t>
      </w:r>
      <w:r w:rsidR="002B556D">
        <w:rPr>
          <w:szCs w:val="28"/>
        </w:rPr>
        <w:t xml:space="preserve">субсидии из </w:t>
      </w:r>
      <w:r>
        <w:rPr>
          <w:szCs w:val="28"/>
        </w:rPr>
        <w:t>областного бюджета в размере 92 290,0 тыс.рублей и средств</w:t>
      </w:r>
      <w:r w:rsidR="002B556D">
        <w:rPr>
          <w:szCs w:val="28"/>
        </w:rPr>
        <w:t xml:space="preserve"> субсидии</w:t>
      </w:r>
      <w:r>
        <w:rPr>
          <w:szCs w:val="28"/>
        </w:rPr>
        <w:t xml:space="preserve"> </w:t>
      </w:r>
      <w:r w:rsidR="002B556D">
        <w:rPr>
          <w:szCs w:val="28"/>
        </w:rPr>
        <w:t xml:space="preserve">из </w:t>
      </w:r>
      <w:r>
        <w:rPr>
          <w:szCs w:val="28"/>
        </w:rPr>
        <w:t>федерального бюджета в размере 92 290,0 тыс.рублей (из них не предоставлены в 2013 году средств</w:t>
      </w:r>
      <w:r w:rsidR="002B556D">
        <w:rPr>
          <w:szCs w:val="28"/>
        </w:rPr>
        <w:t>а</w:t>
      </w:r>
      <w:r>
        <w:rPr>
          <w:szCs w:val="28"/>
        </w:rPr>
        <w:t xml:space="preserve"> </w:t>
      </w:r>
      <w:r w:rsidR="002B556D">
        <w:rPr>
          <w:szCs w:val="28"/>
        </w:rPr>
        <w:t xml:space="preserve">субсидии из </w:t>
      </w:r>
      <w:r>
        <w:rPr>
          <w:szCs w:val="28"/>
        </w:rPr>
        <w:t xml:space="preserve">областного бюджета в размере </w:t>
      </w:r>
      <w:r w:rsidRPr="00B2397B">
        <w:rPr>
          <w:szCs w:val="28"/>
        </w:rPr>
        <w:t>12</w:t>
      </w:r>
      <w:r>
        <w:rPr>
          <w:szCs w:val="28"/>
        </w:rPr>
        <w:t> </w:t>
      </w:r>
      <w:r w:rsidRPr="00B2397B">
        <w:rPr>
          <w:szCs w:val="28"/>
        </w:rPr>
        <w:t>854</w:t>
      </w:r>
      <w:r>
        <w:rPr>
          <w:szCs w:val="28"/>
        </w:rPr>
        <w:t>,</w:t>
      </w:r>
      <w:r w:rsidRPr="00B2397B">
        <w:rPr>
          <w:szCs w:val="28"/>
        </w:rPr>
        <w:t>68</w:t>
      </w:r>
      <w:r>
        <w:rPr>
          <w:szCs w:val="28"/>
        </w:rPr>
        <w:t xml:space="preserve"> тыс.рублей, средства </w:t>
      </w:r>
      <w:r w:rsidR="002B556D">
        <w:rPr>
          <w:szCs w:val="28"/>
        </w:rPr>
        <w:t xml:space="preserve">субсидии из </w:t>
      </w:r>
      <w:r>
        <w:rPr>
          <w:szCs w:val="28"/>
        </w:rPr>
        <w:t xml:space="preserve">федерального бюджета - </w:t>
      </w:r>
      <w:r w:rsidRPr="00B2397B">
        <w:rPr>
          <w:szCs w:val="28"/>
        </w:rPr>
        <w:t>92</w:t>
      </w:r>
      <w:r w:rsidR="002B556D">
        <w:rPr>
          <w:szCs w:val="28"/>
        </w:rPr>
        <w:t> </w:t>
      </w:r>
      <w:r w:rsidRPr="00B2397B">
        <w:rPr>
          <w:szCs w:val="28"/>
        </w:rPr>
        <w:t>290</w:t>
      </w:r>
      <w:r w:rsidR="002B556D">
        <w:rPr>
          <w:szCs w:val="28"/>
        </w:rPr>
        <w:t>,</w:t>
      </w:r>
      <w:r w:rsidRPr="00B2397B">
        <w:rPr>
          <w:szCs w:val="28"/>
        </w:rPr>
        <w:t>00</w:t>
      </w:r>
      <w:r>
        <w:rPr>
          <w:szCs w:val="28"/>
        </w:rPr>
        <w:t xml:space="preserve"> тыс.рублей).</w:t>
      </w:r>
    </w:p>
    <w:p w:rsidR="002C41CE" w:rsidRDefault="002C41CE" w:rsidP="002C41CE">
      <w:pPr>
        <w:shd w:val="clear" w:color="auto" w:fill="FFFFFF"/>
        <w:jc w:val="both"/>
        <w:rPr>
          <w:szCs w:val="28"/>
        </w:rPr>
      </w:pPr>
      <w:r w:rsidRPr="00180AFD">
        <w:rPr>
          <w:szCs w:val="28"/>
          <w:vertAlign w:val="superscript"/>
        </w:rPr>
        <w:t>2</w:t>
      </w:r>
      <w:r w:rsidRPr="000A226A">
        <w:rPr>
          <w:szCs w:val="28"/>
        </w:rPr>
        <w:t xml:space="preserve"> - </w:t>
      </w:r>
      <w:r>
        <w:rPr>
          <w:szCs w:val="28"/>
        </w:rPr>
        <w:t>средства, не входящие в софинансирование по объекту.</w:t>
      </w:r>
    </w:p>
    <w:p w:rsidR="002C41CE" w:rsidRDefault="002C41CE" w:rsidP="002C41CE">
      <w:pPr>
        <w:shd w:val="clear" w:color="auto" w:fill="FFFFFF"/>
        <w:jc w:val="both"/>
        <w:rPr>
          <w:szCs w:val="28"/>
        </w:rPr>
      </w:pPr>
      <w:r w:rsidRPr="00180AFD">
        <w:rPr>
          <w:szCs w:val="28"/>
          <w:vertAlign w:val="superscript"/>
        </w:rPr>
        <w:lastRenderedPageBreak/>
        <w:t>3</w:t>
      </w:r>
      <w:r>
        <w:rPr>
          <w:szCs w:val="28"/>
        </w:rPr>
        <w:t xml:space="preserve"> - средства, формируемые за счет межбюджетного трансферта 2013 года, предоставленного из федерального бюджета в размере 92 290,0 тыс.рублей и за счет остатка межбюджетных трансфертов 2013 года из областного бюджета в размере 36 832,55 тыс.рублей.</w:t>
      </w:r>
    </w:p>
    <w:p w:rsidR="002C41CE" w:rsidRDefault="002C41CE" w:rsidP="002C41CE">
      <w:pPr>
        <w:shd w:val="clear" w:color="auto" w:fill="FFFFFF"/>
        <w:jc w:val="both"/>
        <w:rPr>
          <w:szCs w:val="28"/>
        </w:rPr>
      </w:pPr>
      <w:r w:rsidRPr="00180AFD">
        <w:rPr>
          <w:szCs w:val="28"/>
          <w:vertAlign w:val="superscript"/>
        </w:rPr>
        <w:t>4</w:t>
      </w:r>
      <w:r>
        <w:rPr>
          <w:szCs w:val="28"/>
        </w:rPr>
        <w:t xml:space="preserve"> - средства, формируемые за счет субсидии, предоставляемой с учетом выполнения показателей социально-экономического развития.</w:t>
      </w:r>
    </w:p>
    <w:p w:rsidR="002C41CE" w:rsidRDefault="002C41CE" w:rsidP="002C41CE">
      <w:pPr>
        <w:shd w:val="clear" w:color="auto" w:fill="FFFFFF"/>
        <w:jc w:val="both"/>
        <w:rPr>
          <w:b/>
          <w:szCs w:val="28"/>
        </w:rPr>
      </w:pPr>
      <w:r w:rsidRPr="004D4733">
        <w:rPr>
          <w:szCs w:val="28"/>
          <w:vertAlign w:val="superscript"/>
        </w:rPr>
        <w:t>5</w:t>
      </w:r>
      <w:r>
        <w:rPr>
          <w:szCs w:val="28"/>
        </w:rPr>
        <w:t xml:space="preserve"> - </w:t>
      </w:r>
      <w:r w:rsidRPr="00E147DE">
        <w:rPr>
          <w:szCs w:val="28"/>
        </w:rPr>
        <w:t>указанные средства являются неиспользованными остатками межбюджетных трансфертов прошлых лет, предусматриваемых для обеспечения установленной доли софинансирования с федеральным бюджетом (средства введены постановлением Правительства Самарской области от 05.05.2015г. №240 «О внесении изменений в постановление Правительства Самарской области от 29.11.2013 №701 «Об утверждении государственной программы Самарской области «Развитие коммунальной инфраструктуры и совершенствование системы обращения с отходами в Самарской области» на 2014-2020 годы)</w:t>
      </w:r>
      <w:r>
        <w:rPr>
          <w:szCs w:val="28"/>
        </w:rPr>
        <w:t>.</w:t>
      </w:r>
    </w:p>
    <w:sectPr w:rsidR="002C41CE" w:rsidSect="00665809">
      <w:pgSz w:w="16838" w:h="11906" w:orient="landscape" w:code="9"/>
      <w:pgMar w:top="1134" w:right="1134" w:bottom="1418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29" w:rsidRDefault="00DC1029" w:rsidP="00F04F24">
      <w:r>
        <w:separator/>
      </w:r>
    </w:p>
  </w:endnote>
  <w:endnote w:type="continuationSeparator" w:id="0">
    <w:p w:rsidR="00DC1029" w:rsidRDefault="00DC1029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29" w:rsidRDefault="00DC1029" w:rsidP="00F04F24">
      <w:r>
        <w:separator/>
      </w:r>
    </w:p>
  </w:footnote>
  <w:footnote w:type="continuationSeparator" w:id="0">
    <w:p w:rsidR="00DC1029" w:rsidRDefault="00DC1029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04B"/>
    <w:rsid w:val="00057B64"/>
    <w:rsid w:val="00060980"/>
    <w:rsid w:val="0006118D"/>
    <w:rsid w:val="00062A3F"/>
    <w:rsid w:val="00066E81"/>
    <w:rsid w:val="00067448"/>
    <w:rsid w:val="000678A7"/>
    <w:rsid w:val="00070C98"/>
    <w:rsid w:val="000738D3"/>
    <w:rsid w:val="00081C7A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113D"/>
    <w:rsid w:val="000E2777"/>
    <w:rsid w:val="000E326E"/>
    <w:rsid w:val="000F04A2"/>
    <w:rsid w:val="000F280E"/>
    <w:rsid w:val="000F2821"/>
    <w:rsid w:val="000F48A3"/>
    <w:rsid w:val="00106173"/>
    <w:rsid w:val="00113D6F"/>
    <w:rsid w:val="001164B5"/>
    <w:rsid w:val="00117600"/>
    <w:rsid w:val="00123945"/>
    <w:rsid w:val="00125DF7"/>
    <w:rsid w:val="00133CE8"/>
    <w:rsid w:val="001359C1"/>
    <w:rsid w:val="001427A2"/>
    <w:rsid w:val="001451E1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B556D"/>
    <w:rsid w:val="002C011E"/>
    <w:rsid w:val="002C3EEB"/>
    <w:rsid w:val="002C3FB9"/>
    <w:rsid w:val="002C41CE"/>
    <w:rsid w:val="002D1C1A"/>
    <w:rsid w:val="002D224B"/>
    <w:rsid w:val="002E20F5"/>
    <w:rsid w:val="002E5AAA"/>
    <w:rsid w:val="002F31A6"/>
    <w:rsid w:val="002F51F3"/>
    <w:rsid w:val="002F72EE"/>
    <w:rsid w:val="00302780"/>
    <w:rsid w:val="00304FB2"/>
    <w:rsid w:val="003064E7"/>
    <w:rsid w:val="0031384E"/>
    <w:rsid w:val="003141E1"/>
    <w:rsid w:val="00314923"/>
    <w:rsid w:val="00315AD1"/>
    <w:rsid w:val="003162D2"/>
    <w:rsid w:val="00316E88"/>
    <w:rsid w:val="003170E8"/>
    <w:rsid w:val="00317F13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216"/>
    <w:rsid w:val="00370E0C"/>
    <w:rsid w:val="00371092"/>
    <w:rsid w:val="003716CF"/>
    <w:rsid w:val="00374CCE"/>
    <w:rsid w:val="00376704"/>
    <w:rsid w:val="0038254B"/>
    <w:rsid w:val="003839F2"/>
    <w:rsid w:val="00384CE3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238B3"/>
    <w:rsid w:val="00424C2C"/>
    <w:rsid w:val="00425247"/>
    <w:rsid w:val="00426C49"/>
    <w:rsid w:val="0043264F"/>
    <w:rsid w:val="004424C3"/>
    <w:rsid w:val="00442C77"/>
    <w:rsid w:val="0044685A"/>
    <w:rsid w:val="00463841"/>
    <w:rsid w:val="0046408F"/>
    <w:rsid w:val="004675CC"/>
    <w:rsid w:val="004702A9"/>
    <w:rsid w:val="004712F0"/>
    <w:rsid w:val="004729AC"/>
    <w:rsid w:val="0047356C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4516"/>
    <w:rsid w:val="005470D7"/>
    <w:rsid w:val="0054776A"/>
    <w:rsid w:val="00552AF1"/>
    <w:rsid w:val="00555D17"/>
    <w:rsid w:val="0057414A"/>
    <w:rsid w:val="005758AF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B1F6B"/>
    <w:rsid w:val="005D240B"/>
    <w:rsid w:val="005D69A8"/>
    <w:rsid w:val="005E0F50"/>
    <w:rsid w:val="005E1E4A"/>
    <w:rsid w:val="005E261E"/>
    <w:rsid w:val="005E2B8F"/>
    <w:rsid w:val="005E4CD2"/>
    <w:rsid w:val="005E638E"/>
    <w:rsid w:val="005E6948"/>
    <w:rsid w:val="005F27FE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3B0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638"/>
    <w:rsid w:val="00642A48"/>
    <w:rsid w:val="00646CA1"/>
    <w:rsid w:val="00651793"/>
    <w:rsid w:val="00654A27"/>
    <w:rsid w:val="006628FB"/>
    <w:rsid w:val="00665809"/>
    <w:rsid w:val="006718EA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B781E"/>
    <w:rsid w:val="006C217C"/>
    <w:rsid w:val="006C2243"/>
    <w:rsid w:val="006D2770"/>
    <w:rsid w:val="006D4491"/>
    <w:rsid w:val="006D6A74"/>
    <w:rsid w:val="006D72F0"/>
    <w:rsid w:val="006E09E7"/>
    <w:rsid w:val="006E0B29"/>
    <w:rsid w:val="006E7233"/>
    <w:rsid w:val="006E76BA"/>
    <w:rsid w:val="006F6F0E"/>
    <w:rsid w:val="00703965"/>
    <w:rsid w:val="0070503F"/>
    <w:rsid w:val="007077EB"/>
    <w:rsid w:val="007167EF"/>
    <w:rsid w:val="0071782B"/>
    <w:rsid w:val="007257A3"/>
    <w:rsid w:val="00725BF0"/>
    <w:rsid w:val="00726C02"/>
    <w:rsid w:val="0073404A"/>
    <w:rsid w:val="007408CD"/>
    <w:rsid w:val="00741B53"/>
    <w:rsid w:val="007428C4"/>
    <w:rsid w:val="00747CC0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366E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7F7E77"/>
    <w:rsid w:val="008003D7"/>
    <w:rsid w:val="00801261"/>
    <w:rsid w:val="00801B6A"/>
    <w:rsid w:val="00801DA9"/>
    <w:rsid w:val="00803EA3"/>
    <w:rsid w:val="008047DD"/>
    <w:rsid w:val="008049B0"/>
    <w:rsid w:val="00804DDE"/>
    <w:rsid w:val="0081199B"/>
    <w:rsid w:val="00812DB7"/>
    <w:rsid w:val="00813C69"/>
    <w:rsid w:val="00813E4F"/>
    <w:rsid w:val="0081574F"/>
    <w:rsid w:val="0081606B"/>
    <w:rsid w:val="00821489"/>
    <w:rsid w:val="008214F8"/>
    <w:rsid w:val="008242DC"/>
    <w:rsid w:val="00824895"/>
    <w:rsid w:val="00824E93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6161C"/>
    <w:rsid w:val="00861AD1"/>
    <w:rsid w:val="00866A10"/>
    <w:rsid w:val="00881638"/>
    <w:rsid w:val="008843D4"/>
    <w:rsid w:val="00887FB0"/>
    <w:rsid w:val="00890B72"/>
    <w:rsid w:val="008938E3"/>
    <w:rsid w:val="0089673D"/>
    <w:rsid w:val="008A086B"/>
    <w:rsid w:val="008A6BB5"/>
    <w:rsid w:val="008B39BD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EA0"/>
    <w:rsid w:val="009744D4"/>
    <w:rsid w:val="009763DF"/>
    <w:rsid w:val="00977E8D"/>
    <w:rsid w:val="0099182F"/>
    <w:rsid w:val="00991C67"/>
    <w:rsid w:val="00993E29"/>
    <w:rsid w:val="009A1269"/>
    <w:rsid w:val="009A5DC9"/>
    <w:rsid w:val="009B5A26"/>
    <w:rsid w:val="009B697F"/>
    <w:rsid w:val="009C16A4"/>
    <w:rsid w:val="009C1D06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18A8"/>
    <w:rsid w:val="00A340EF"/>
    <w:rsid w:val="00A406A2"/>
    <w:rsid w:val="00A4155E"/>
    <w:rsid w:val="00A4494D"/>
    <w:rsid w:val="00A47431"/>
    <w:rsid w:val="00A521DA"/>
    <w:rsid w:val="00A52E30"/>
    <w:rsid w:val="00A57F8B"/>
    <w:rsid w:val="00A63D7C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28CA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519"/>
    <w:rsid w:val="00B869EC"/>
    <w:rsid w:val="00B92976"/>
    <w:rsid w:val="00B940DE"/>
    <w:rsid w:val="00B9643F"/>
    <w:rsid w:val="00BA0F1D"/>
    <w:rsid w:val="00BA3445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6469"/>
    <w:rsid w:val="00BD69EE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0D4C"/>
    <w:rsid w:val="00C42BA0"/>
    <w:rsid w:val="00C466B0"/>
    <w:rsid w:val="00C46FC8"/>
    <w:rsid w:val="00C47DFF"/>
    <w:rsid w:val="00C511B8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4621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11616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C1029"/>
    <w:rsid w:val="00DC1BED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108D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D56A8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135E"/>
    <w:rsid w:val="00FA4334"/>
    <w:rsid w:val="00FA74A6"/>
    <w:rsid w:val="00FB2BE8"/>
    <w:rsid w:val="00FB3E35"/>
    <w:rsid w:val="00FB500D"/>
    <w:rsid w:val="00FB582C"/>
    <w:rsid w:val="00FB7F9B"/>
    <w:rsid w:val="00FC2405"/>
    <w:rsid w:val="00FD4EA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2BE5-82ED-4DBD-A738-5B77B8D4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36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18</cp:revision>
  <cp:lastPrinted>2016-08-10T14:02:00Z</cp:lastPrinted>
  <dcterms:created xsi:type="dcterms:W3CDTF">2016-07-04T13:42:00Z</dcterms:created>
  <dcterms:modified xsi:type="dcterms:W3CDTF">2016-08-17T07:03:00Z</dcterms:modified>
</cp:coreProperties>
</file>