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9"/>
        <w:gridCol w:w="4246"/>
      </w:tblGrid>
      <w:tr w:rsidR="00A47431" w:rsidRPr="00DF5C3C" w:rsidTr="00E618D5">
        <w:trPr>
          <w:trHeight w:val="2340"/>
        </w:trPr>
        <w:tc>
          <w:tcPr>
            <w:tcW w:w="4970" w:type="dxa"/>
            <w:gridSpan w:val="5"/>
          </w:tcPr>
          <w:p w:rsidR="00A47431" w:rsidRPr="00DF5C3C" w:rsidRDefault="00A47431">
            <w:pPr>
              <w:jc w:val="center"/>
              <w:rPr>
                <w:sz w:val="18"/>
              </w:rPr>
            </w:pPr>
            <w:r w:rsidRPr="00DF5C3C">
              <w:rPr>
                <w:sz w:val="18"/>
              </w:rPr>
              <w:t>Российская Федерация</w:t>
            </w:r>
          </w:p>
          <w:p w:rsidR="00A47431" w:rsidRPr="00DF5C3C" w:rsidRDefault="00A47431">
            <w:pPr>
              <w:jc w:val="center"/>
              <w:rPr>
                <w:sz w:val="18"/>
              </w:rPr>
            </w:pPr>
            <w:r w:rsidRPr="00DF5C3C">
              <w:rPr>
                <w:sz w:val="18"/>
              </w:rPr>
              <w:t>Самарская область</w:t>
            </w:r>
          </w:p>
          <w:p w:rsidR="00A47431" w:rsidRPr="00DF5C3C" w:rsidRDefault="00A47431">
            <w:pPr>
              <w:jc w:val="center"/>
            </w:pPr>
          </w:p>
          <w:p w:rsidR="00A47431" w:rsidRPr="00DF5C3C" w:rsidRDefault="00A47431">
            <w:pPr>
              <w:jc w:val="center"/>
              <w:rPr>
                <w:sz w:val="22"/>
              </w:rPr>
            </w:pPr>
            <w:r w:rsidRPr="00DF5C3C">
              <w:rPr>
                <w:sz w:val="22"/>
              </w:rPr>
              <w:t>АДМИНИСТРАЦИЯ</w:t>
            </w:r>
          </w:p>
          <w:p w:rsidR="00A47431" w:rsidRPr="00DF5C3C" w:rsidRDefault="00A47431">
            <w:pPr>
              <w:jc w:val="center"/>
            </w:pPr>
            <w:r w:rsidRPr="00DF5C3C">
              <w:rPr>
                <w:sz w:val="22"/>
              </w:rPr>
              <w:t>городского округа Кинель</w:t>
            </w:r>
          </w:p>
          <w:p w:rsidR="00A47431" w:rsidRPr="00DF5C3C" w:rsidRDefault="00A47431">
            <w:pPr>
              <w:jc w:val="center"/>
              <w:rPr>
                <w:sz w:val="18"/>
              </w:rPr>
            </w:pPr>
          </w:p>
          <w:p w:rsidR="00A47431" w:rsidRPr="00DF5C3C" w:rsidRDefault="00A47431">
            <w:pPr>
              <w:jc w:val="center"/>
              <w:rPr>
                <w:sz w:val="18"/>
              </w:rPr>
            </w:pPr>
          </w:p>
          <w:p w:rsidR="00A47431" w:rsidRPr="00DF5C3C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 w:rsidRPr="00DF5C3C">
              <w:rPr>
                <w:b/>
                <w:sz w:val="32"/>
              </w:rPr>
              <w:t>ПОСТАНОВЛЕНИЕ</w:t>
            </w:r>
          </w:p>
          <w:p w:rsidR="00A47431" w:rsidRPr="00DF5C3C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DF5C3C" w:rsidRDefault="00A47431" w:rsidP="00834C5F">
            <w:pPr>
              <w:ind w:firstLine="567"/>
              <w:jc w:val="right"/>
            </w:pPr>
          </w:p>
        </w:tc>
      </w:tr>
      <w:tr w:rsidR="00A47431" w:rsidRPr="00DF5C3C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Pr="00DF5C3C" w:rsidRDefault="0031384E">
            <w:pPr>
              <w:jc w:val="right"/>
              <w:rPr>
                <w:szCs w:val="28"/>
              </w:rPr>
            </w:pPr>
            <w:r w:rsidRPr="00DF5C3C">
              <w:rPr>
                <w:szCs w:val="28"/>
              </w:rPr>
              <w:t>о</w:t>
            </w:r>
            <w:r w:rsidR="00A47431" w:rsidRPr="00DF5C3C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DF5C3C" w:rsidRDefault="0024448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29.12.2016г.</w:t>
            </w:r>
          </w:p>
        </w:tc>
        <w:tc>
          <w:tcPr>
            <w:tcW w:w="567" w:type="dxa"/>
            <w:vAlign w:val="bottom"/>
            <w:hideMark/>
          </w:tcPr>
          <w:p w:rsidR="00A47431" w:rsidRPr="00DF5C3C" w:rsidRDefault="00A47431">
            <w:pPr>
              <w:jc w:val="right"/>
              <w:rPr>
                <w:szCs w:val="28"/>
              </w:rPr>
            </w:pPr>
            <w:r w:rsidRPr="00DF5C3C"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DF5C3C" w:rsidRDefault="0024448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3964</w:t>
            </w:r>
          </w:p>
        </w:tc>
        <w:tc>
          <w:tcPr>
            <w:tcW w:w="803" w:type="dxa"/>
            <w:vAlign w:val="bottom"/>
          </w:tcPr>
          <w:p w:rsidR="00A47431" w:rsidRPr="00DF5C3C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Pr="00DF5C3C" w:rsidRDefault="00A47431"/>
        </w:tc>
      </w:tr>
      <w:tr w:rsidR="00A47431" w:rsidRPr="00DF5C3C" w:rsidTr="00E618D5">
        <w:trPr>
          <w:trHeight w:val="365"/>
        </w:trPr>
        <w:tc>
          <w:tcPr>
            <w:tcW w:w="4970" w:type="dxa"/>
            <w:gridSpan w:val="5"/>
          </w:tcPr>
          <w:p w:rsidR="00A47431" w:rsidRPr="00DF5C3C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Pr="00DF5C3C" w:rsidRDefault="00A47431"/>
        </w:tc>
      </w:tr>
      <w:tr w:rsidR="00C91EA4" w:rsidRPr="00DF5C3C" w:rsidTr="00184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46" w:type="dxa"/>
          <w:trHeight w:val="600"/>
        </w:trPr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DF5C3C" w:rsidRDefault="00695EDE" w:rsidP="00695EDE">
            <w:pPr>
              <w:jc w:val="both"/>
              <w:rPr>
                <w:sz w:val="24"/>
                <w:szCs w:val="28"/>
              </w:rPr>
            </w:pPr>
            <w:r w:rsidRPr="00DF5C3C">
              <w:rPr>
                <w:szCs w:val="28"/>
              </w:rPr>
              <w:t>Об утверждении Требований к договорам о предоставлении бюджетных инвестиций юридическим лицам, не являющимся муниципальными учреждениями и муниципальными унитарными предприятиями, за счет средств бюджета городского округа Кинель Самарской области</w:t>
            </w:r>
          </w:p>
        </w:tc>
      </w:tr>
    </w:tbl>
    <w:p w:rsidR="009B5A26" w:rsidRPr="00DF5C3C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Pr="00DF5C3C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DF5C3C">
        <w:rPr>
          <w:szCs w:val="28"/>
        </w:rPr>
        <w:t>В</w:t>
      </w:r>
      <w:r w:rsidR="00E618D5" w:rsidRPr="00DF5C3C">
        <w:rPr>
          <w:szCs w:val="28"/>
        </w:rPr>
        <w:t xml:space="preserve"> соответствии с </w:t>
      </w:r>
      <w:r w:rsidR="00695EDE" w:rsidRPr="00DF5C3C">
        <w:rPr>
          <w:szCs w:val="28"/>
        </w:rPr>
        <w:t xml:space="preserve">пунктом 3 статьи </w:t>
      </w:r>
      <w:r w:rsidR="001845FB">
        <w:rPr>
          <w:szCs w:val="28"/>
        </w:rPr>
        <w:t>80</w:t>
      </w:r>
      <w:r w:rsidR="00695EDE" w:rsidRPr="00DF5C3C">
        <w:rPr>
          <w:szCs w:val="28"/>
        </w:rPr>
        <w:t xml:space="preserve"> Бюджетного кодекса Российской Федерации</w:t>
      </w:r>
    </w:p>
    <w:p w:rsidR="00425247" w:rsidRPr="00DF5C3C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DF5C3C">
        <w:rPr>
          <w:spacing w:val="20"/>
          <w:szCs w:val="28"/>
        </w:rPr>
        <w:t>ПОСТАНОВЛЯЮ:</w:t>
      </w:r>
    </w:p>
    <w:p w:rsidR="00695EDE" w:rsidRPr="00DF5C3C" w:rsidRDefault="00695EDE" w:rsidP="00A84B0C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F5C3C">
        <w:rPr>
          <w:szCs w:val="28"/>
        </w:rPr>
        <w:t>Утвердить Требования к договорам о предоставлении бюджетных инвестиций юридическим лицам, не являющимся муниципальными учреждениями и муниципальными унитарными предприятиями, за счет средств бюджета городского округа Кинель Самарской области согласно приложению.</w:t>
      </w:r>
      <w:bookmarkEnd w:id="0"/>
    </w:p>
    <w:p w:rsidR="00C25C4A" w:rsidRPr="00DF5C3C" w:rsidRDefault="00C25C4A" w:rsidP="00C25C4A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F5C3C"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C25C4A" w:rsidRPr="00DF5C3C" w:rsidRDefault="00C25C4A" w:rsidP="00C25C4A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F5C3C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25C4A" w:rsidRPr="00DF5C3C" w:rsidRDefault="00C25C4A" w:rsidP="00C25C4A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 w:rsidRPr="00DF5C3C">
        <w:rPr>
          <w:szCs w:val="28"/>
        </w:rPr>
        <w:t>Контроль за выполнением настоящего постановления возложить на Первого заместителя Главы городского округа (Прокудин А.А.).</w:t>
      </w:r>
    </w:p>
    <w:p w:rsidR="00C25C4A" w:rsidRDefault="00C25C4A" w:rsidP="00C25C4A">
      <w:pPr>
        <w:jc w:val="both"/>
        <w:rPr>
          <w:szCs w:val="28"/>
        </w:rPr>
      </w:pPr>
    </w:p>
    <w:p w:rsidR="001845FB" w:rsidRPr="00DF5C3C" w:rsidRDefault="001845FB" w:rsidP="00C25C4A">
      <w:pPr>
        <w:jc w:val="both"/>
        <w:rPr>
          <w:szCs w:val="28"/>
        </w:rPr>
      </w:pPr>
    </w:p>
    <w:p w:rsidR="00C25C4A" w:rsidRPr="00DF5C3C" w:rsidRDefault="00C25C4A" w:rsidP="00C25C4A">
      <w:pPr>
        <w:rPr>
          <w:szCs w:val="28"/>
        </w:rPr>
      </w:pPr>
      <w:r w:rsidRPr="00DF5C3C">
        <w:rPr>
          <w:szCs w:val="28"/>
        </w:rPr>
        <w:t>Глава городского округа</w:t>
      </w:r>
      <w:r w:rsidRPr="00DF5C3C">
        <w:rPr>
          <w:szCs w:val="28"/>
        </w:rPr>
        <w:tab/>
      </w:r>
      <w:r w:rsidRPr="00DF5C3C">
        <w:rPr>
          <w:szCs w:val="28"/>
        </w:rPr>
        <w:tab/>
      </w:r>
      <w:r w:rsidRPr="00DF5C3C">
        <w:rPr>
          <w:szCs w:val="28"/>
        </w:rPr>
        <w:tab/>
      </w:r>
      <w:r w:rsidRPr="00DF5C3C">
        <w:rPr>
          <w:szCs w:val="28"/>
        </w:rPr>
        <w:tab/>
      </w:r>
      <w:r w:rsidRPr="00DF5C3C">
        <w:rPr>
          <w:szCs w:val="28"/>
        </w:rPr>
        <w:tab/>
      </w:r>
      <w:r w:rsidRPr="00DF5C3C">
        <w:rPr>
          <w:szCs w:val="28"/>
        </w:rPr>
        <w:tab/>
        <w:t xml:space="preserve">        В.А.Чихирёв</w:t>
      </w:r>
    </w:p>
    <w:p w:rsidR="001845FB" w:rsidRPr="001845FB" w:rsidRDefault="001845FB" w:rsidP="00C25C4A">
      <w:pPr>
        <w:rPr>
          <w:sz w:val="14"/>
          <w:szCs w:val="28"/>
        </w:rPr>
      </w:pPr>
    </w:p>
    <w:p w:rsidR="00C25C4A" w:rsidRPr="00DF5C3C" w:rsidRDefault="00C25C4A" w:rsidP="00C25C4A">
      <w:pPr>
        <w:rPr>
          <w:szCs w:val="28"/>
        </w:rPr>
      </w:pPr>
      <w:r w:rsidRPr="00DF5C3C">
        <w:rPr>
          <w:szCs w:val="28"/>
        </w:rPr>
        <w:t>Прокудин 21760</w:t>
      </w:r>
    </w:p>
    <w:p w:rsidR="00C25C4A" w:rsidRPr="00DF5C3C" w:rsidRDefault="00C25C4A">
      <w:pPr>
        <w:rPr>
          <w:szCs w:val="28"/>
        </w:rPr>
      </w:pPr>
      <w:r w:rsidRPr="00DF5C3C">
        <w:rPr>
          <w:szCs w:val="28"/>
        </w:rPr>
        <w:t>Москаленко 21698</w:t>
      </w:r>
      <w:r w:rsidRPr="00DF5C3C">
        <w:rPr>
          <w:szCs w:val="28"/>
        </w:rPr>
        <w:br w:type="page"/>
      </w:r>
    </w:p>
    <w:p w:rsidR="00C25C4A" w:rsidRPr="00DF5C3C" w:rsidRDefault="00C25C4A" w:rsidP="00DF5C3C">
      <w:pPr>
        <w:ind w:left="5245"/>
        <w:contextualSpacing/>
        <w:jc w:val="center"/>
        <w:rPr>
          <w:szCs w:val="28"/>
        </w:rPr>
      </w:pPr>
      <w:r w:rsidRPr="00DF5C3C">
        <w:rPr>
          <w:szCs w:val="28"/>
        </w:rPr>
        <w:lastRenderedPageBreak/>
        <w:t>УТВЕРЖДЕН</w:t>
      </w:r>
      <w:r w:rsidR="00AB538E">
        <w:rPr>
          <w:szCs w:val="28"/>
        </w:rPr>
        <w:t>Ы</w:t>
      </w:r>
    </w:p>
    <w:p w:rsidR="00C25C4A" w:rsidRPr="00DF5C3C" w:rsidRDefault="00A84B0C" w:rsidP="00DF5C3C">
      <w:pPr>
        <w:ind w:left="5245"/>
        <w:contextualSpacing/>
        <w:jc w:val="center"/>
        <w:rPr>
          <w:szCs w:val="28"/>
        </w:rPr>
      </w:pPr>
      <w:r w:rsidRPr="00DF5C3C">
        <w:rPr>
          <w:szCs w:val="28"/>
        </w:rPr>
        <w:t xml:space="preserve">постановлением </w:t>
      </w:r>
      <w:r w:rsidR="00C25C4A" w:rsidRPr="00DF5C3C">
        <w:rPr>
          <w:szCs w:val="28"/>
        </w:rPr>
        <w:t>администрации городского округа Кинель Самарской области</w:t>
      </w:r>
    </w:p>
    <w:p w:rsidR="00A84B0C" w:rsidRPr="00DF5C3C" w:rsidRDefault="00A84B0C" w:rsidP="00DF5C3C">
      <w:pPr>
        <w:ind w:left="5245"/>
        <w:contextualSpacing/>
        <w:jc w:val="center"/>
        <w:rPr>
          <w:szCs w:val="28"/>
        </w:rPr>
      </w:pPr>
      <w:r w:rsidRPr="00DF5C3C">
        <w:rPr>
          <w:szCs w:val="28"/>
        </w:rPr>
        <w:t>от _</w:t>
      </w:r>
      <w:r w:rsidR="00244486">
        <w:rPr>
          <w:szCs w:val="28"/>
        </w:rPr>
        <w:t>29.12.2016г.</w:t>
      </w:r>
      <w:bookmarkStart w:id="1" w:name="_GoBack"/>
      <w:bookmarkEnd w:id="1"/>
      <w:r w:rsidRPr="00DF5C3C">
        <w:rPr>
          <w:szCs w:val="28"/>
        </w:rPr>
        <w:t xml:space="preserve"> </w:t>
      </w:r>
      <w:r w:rsidR="00C25C4A" w:rsidRPr="00DF5C3C">
        <w:rPr>
          <w:szCs w:val="28"/>
        </w:rPr>
        <w:t>№</w:t>
      </w:r>
      <w:r w:rsidRPr="00DF5C3C">
        <w:rPr>
          <w:szCs w:val="28"/>
        </w:rPr>
        <w:t xml:space="preserve"> ___</w:t>
      </w:r>
      <w:r w:rsidR="00244486">
        <w:rPr>
          <w:szCs w:val="28"/>
        </w:rPr>
        <w:t>3964</w:t>
      </w:r>
      <w:r w:rsidRPr="00DF5C3C">
        <w:rPr>
          <w:szCs w:val="28"/>
        </w:rPr>
        <w:t>__</w:t>
      </w:r>
    </w:p>
    <w:p w:rsidR="00C25C4A" w:rsidRPr="00DF5C3C" w:rsidRDefault="00C25C4A" w:rsidP="00DF5C3C">
      <w:pPr>
        <w:spacing w:line="360" w:lineRule="auto"/>
        <w:ind w:firstLine="720"/>
        <w:contextualSpacing/>
        <w:jc w:val="both"/>
        <w:rPr>
          <w:szCs w:val="28"/>
        </w:rPr>
      </w:pPr>
    </w:p>
    <w:p w:rsidR="00C25C4A" w:rsidRPr="00DF5C3C" w:rsidRDefault="00C25C4A" w:rsidP="00DF5C3C">
      <w:pPr>
        <w:contextualSpacing/>
        <w:jc w:val="center"/>
        <w:rPr>
          <w:b/>
          <w:szCs w:val="28"/>
        </w:rPr>
      </w:pPr>
      <w:r w:rsidRPr="00DF5C3C">
        <w:rPr>
          <w:b/>
          <w:szCs w:val="28"/>
        </w:rPr>
        <w:t>Требования</w:t>
      </w:r>
    </w:p>
    <w:p w:rsidR="00A84B0C" w:rsidRDefault="00C25C4A" w:rsidP="00DF5C3C">
      <w:pPr>
        <w:contextualSpacing/>
        <w:jc w:val="center"/>
        <w:rPr>
          <w:b/>
          <w:szCs w:val="28"/>
        </w:rPr>
      </w:pPr>
      <w:r w:rsidRPr="00DF5C3C">
        <w:rPr>
          <w:b/>
          <w:szCs w:val="28"/>
        </w:rPr>
        <w:t>к договорам о предоставлении бюджетных инвестиций юридическим лицам, не являющимся муниципальными учреждениями и муниципальными унитарными предприятиями, за счет средств бюджета городского округа Кинель Самарской области</w:t>
      </w:r>
    </w:p>
    <w:p w:rsidR="00DF5C3C" w:rsidRPr="00DF5C3C" w:rsidRDefault="00DF5C3C" w:rsidP="00DF5C3C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(далее - Требования)</w:t>
      </w:r>
    </w:p>
    <w:p w:rsidR="00C25C4A" w:rsidRPr="00DF5C3C" w:rsidRDefault="00C25C4A" w:rsidP="00DF5C3C">
      <w:pPr>
        <w:spacing w:line="360" w:lineRule="auto"/>
        <w:ind w:firstLine="720"/>
        <w:contextualSpacing/>
        <w:jc w:val="center"/>
        <w:rPr>
          <w:b/>
          <w:szCs w:val="28"/>
        </w:rPr>
      </w:pPr>
    </w:p>
    <w:p w:rsidR="00DF5C3C" w:rsidRPr="00B61891" w:rsidRDefault="00A84B0C" w:rsidP="00B61891">
      <w:pPr>
        <w:pStyle w:val="aa"/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891">
        <w:rPr>
          <w:rFonts w:ascii="Times New Roman" w:hAnsi="Times New Roman" w:cs="Times New Roman"/>
          <w:sz w:val="28"/>
          <w:szCs w:val="28"/>
        </w:rPr>
        <w:t xml:space="preserve">Договор о предоставлении бюджетных инвестиций юридическому лицу, не являющемуся </w:t>
      </w:r>
      <w:r w:rsidR="00C25C4A" w:rsidRPr="00B61891">
        <w:rPr>
          <w:rFonts w:ascii="Times New Roman" w:hAnsi="Times New Roman" w:cs="Times New Roman"/>
          <w:sz w:val="28"/>
          <w:szCs w:val="28"/>
        </w:rPr>
        <w:t>муниципальным учреждением и муниципальным унитарным предприятием, за счет средств бюджета городского округа Кинель Самарской области</w:t>
      </w:r>
      <w:r w:rsidRPr="00B61891">
        <w:rPr>
          <w:rFonts w:ascii="Times New Roman" w:hAnsi="Times New Roman" w:cs="Times New Roman"/>
          <w:sz w:val="28"/>
          <w:szCs w:val="28"/>
        </w:rPr>
        <w:t xml:space="preserve">, заключается между </w:t>
      </w:r>
      <w:r w:rsidR="001845FB" w:rsidRPr="00B61891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</w:t>
      </w:r>
      <w:r w:rsidR="00C25C4A" w:rsidRPr="00B61891">
        <w:rPr>
          <w:rFonts w:ascii="Times New Roman" w:hAnsi="Times New Roman" w:cs="Times New Roman"/>
          <w:sz w:val="28"/>
          <w:szCs w:val="28"/>
        </w:rPr>
        <w:t>Кинель Самарской области</w:t>
      </w:r>
      <w:r w:rsidRPr="00B61891">
        <w:rPr>
          <w:rFonts w:ascii="Times New Roman" w:hAnsi="Times New Roman" w:cs="Times New Roman"/>
          <w:sz w:val="28"/>
          <w:szCs w:val="28"/>
        </w:rPr>
        <w:t>, предоставляющ</w:t>
      </w:r>
      <w:r w:rsidR="00AB538E">
        <w:rPr>
          <w:rFonts w:ascii="Times New Roman" w:hAnsi="Times New Roman" w:cs="Times New Roman"/>
          <w:sz w:val="28"/>
          <w:szCs w:val="28"/>
        </w:rPr>
        <w:t xml:space="preserve">ей </w:t>
      </w:r>
      <w:r w:rsidRPr="00B61891">
        <w:rPr>
          <w:rFonts w:ascii="Times New Roman" w:hAnsi="Times New Roman" w:cs="Times New Roman"/>
          <w:sz w:val="28"/>
          <w:szCs w:val="28"/>
        </w:rPr>
        <w:t>бюджетные инвестиции, и юридическим лицом.</w:t>
      </w:r>
    </w:p>
    <w:p w:rsidR="00DF5C3C" w:rsidRPr="00B61891" w:rsidRDefault="00A84B0C" w:rsidP="00B61891">
      <w:pPr>
        <w:pStyle w:val="aa"/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891">
        <w:rPr>
          <w:rFonts w:ascii="Times New Roman" w:hAnsi="Times New Roman" w:cs="Times New Roman"/>
          <w:sz w:val="28"/>
          <w:szCs w:val="28"/>
        </w:rPr>
        <w:t xml:space="preserve">Договор о предоставлении бюджетных инвестиций заключается в пределах бюджетных ассигнований, утвержденных </w:t>
      </w:r>
      <w:r w:rsidR="00DF5C3C" w:rsidRPr="00B61891">
        <w:rPr>
          <w:rFonts w:ascii="Times New Roman" w:hAnsi="Times New Roman" w:cs="Times New Roman"/>
          <w:sz w:val="28"/>
          <w:szCs w:val="28"/>
        </w:rPr>
        <w:t xml:space="preserve">решением Думы городского округа Кинель Самарской области </w:t>
      </w:r>
      <w:r w:rsidR="00AB538E">
        <w:rPr>
          <w:rFonts w:ascii="Times New Roman" w:hAnsi="Times New Roman" w:cs="Times New Roman"/>
          <w:sz w:val="28"/>
          <w:szCs w:val="28"/>
        </w:rPr>
        <w:t xml:space="preserve">о </w:t>
      </w:r>
      <w:r w:rsidRPr="00B61891">
        <w:rPr>
          <w:rFonts w:ascii="Times New Roman" w:hAnsi="Times New Roman" w:cs="Times New Roman"/>
          <w:sz w:val="28"/>
          <w:szCs w:val="28"/>
        </w:rPr>
        <w:t>бюджете на соответствующий финансовый год и плановый период.</w:t>
      </w:r>
    </w:p>
    <w:p w:rsidR="00C43F62" w:rsidRPr="00B61891" w:rsidRDefault="00A84B0C" w:rsidP="00B61891">
      <w:pPr>
        <w:pStyle w:val="aa"/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891">
        <w:rPr>
          <w:rFonts w:ascii="Times New Roman" w:hAnsi="Times New Roman" w:cs="Times New Roman"/>
          <w:sz w:val="28"/>
          <w:szCs w:val="28"/>
        </w:rPr>
        <w:t xml:space="preserve">Договор о предоставлении бюджетных инвестиций оформляется в течение 3 месяцев после дня вступления в силу </w:t>
      </w:r>
      <w:r w:rsidR="00DF5C3C" w:rsidRPr="00B61891">
        <w:rPr>
          <w:rFonts w:ascii="Times New Roman" w:hAnsi="Times New Roman" w:cs="Times New Roman"/>
          <w:sz w:val="28"/>
          <w:szCs w:val="28"/>
        </w:rPr>
        <w:t>решени</w:t>
      </w:r>
      <w:r w:rsidR="00AB538E">
        <w:rPr>
          <w:rFonts w:ascii="Times New Roman" w:hAnsi="Times New Roman" w:cs="Times New Roman"/>
          <w:sz w:val="28"/>
          <w:szCs w:val="28"/>
        </w:rPr>
        <w:t xml:space="preserve">я </w:t>
      </w:r>
      <w:r w:rsidR="00DF5C3C" w:rsidRPr="00B61891">
        <w:rPr>
          <w:rFonts w:ascii="Times New Roman" w:hAnsi="Times New Roman" w:cs="Times New Roman"/>
          <w:sz w:val="28"/>
          <w:szCs w:val="28"/>
        </w:rPr>
        <w:t xml:space="preserve">Думы городского округа Кинель Самарской области </w:t>
      </w:r>
      <w:r w:rsidR="00AB538E">
        <w:rPr>
          <w:rFonts w:ascii="Times New Roman" w:hAnsi="Times New Roman" w:cs="Times New Roman"/>
          <w:sz w:val="28"/>
          <w:szCs w:val="28"/>
        </w:rPr>
        <w:t xml:space="preserve">о </w:t>
      </w:r>
      <w:r w:rsidR="00DF5C3C" w:rsidRPr="00B61891">
        <w:rPr>
          <w:rFonts w:ascii="Times New Roman" w:hAnsi="Times New Roman" w:cs="Times New Roman"/>
          <w:sz w:val="28"/>
          <w:szCs w:val="28"/>
        </w:rPr>
        <w:t>бюджете на соответствующий финансовый год и плановый период</w:t>
      </w:r>
      <w:r w:rsidRPr="00B61891">
        <w:rPr>
          <w:rFonts w:ascii="Times New Roman" w:hAnsi="Times New Roman" w:cs="Times New Roman"/>
          <w:sz w:val="28"/>
          <w:szCs w:val="28"/>
        </w:rPr>
        <w:t>. Отсутствие договора о предоставлении бюджетных инвестиций, оформленного в соответствии с настоящими Требованиями, служит основанием для непредоставления бюджетных инвестиций.</w:t>
      </w:r>
    </w:p>
    <w:p w:rsidR="00A84B0C" w:rsidRPr="00B61891" w:rsidRDefault="00A84B0C" w:rsidP="00B61891">
      <w:pPr>
        <w:pStyle w:val="aa"/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891">
        <w:rPr>
          <w:rFonts w:ascii="Times New Roman" w:hAnsi="Times New Roman" w:cs="Times New Roman"/>
          <w:sz w:val="28"/>
          <w:szCs w:val="28"/>
        </w:rPr>
        <w:t>Договор о предоставлении бюджетных инвестиций должен определять: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а) целевое назначение предоставляемых бюджетных инвестиций и их объем с распределением по годам;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lastRenderedPageBreak/>
        <w:t>б) показатели результативности предоставления бюджетных инвестиций (далее - показатели результативности) и их значения;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в) положения, устанавливающие права и обязанности сторон договора о предоставлении бюджетных инвестиций и порядок их взаимодействия при его реализации;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г) сроки (порядок определения сроков) принятия уполномоченным органом юридического лица, являющегося акционерным обществом, решения об увеличении его уставного капитала путем размещения дополнительных акций на сумму предоставляемых бюджетных инвестиций, а также условие о предоставлении бюджетных инвестиций не ранее принятия такого решения;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д) порядок оплаты акций (долей) в уставном (складочном) капитале юридического лица, а также положения, предусматривающие произведение такой оплаты в пределах размера, рассчитанного по формуле:</w:t>
      </w:r>
    </w:p>
    <w:p w:rsidR="00A84B0C" w:rsidRPr="00B03D47" w:rsidRDefault="00AF08BE" w:rsidP="00B03D47">
      <w:pPr>
        <w:spacing w:line="360" w:lineRule="auto"/>
        <w:ind w:left="709"/>
        <w:contextualSpacing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sz w:val="32"/>
                <w:szCs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32"/>
                <w:szCs w:val="28"/>
                <w:lang w:val="en-US"/>
              </w:rPr>
              <m:t>i</m:t>
            </m:r>
          </m:sub>
        </m:sSub>
        <m:r>
          <m:rPr>
            <m:sty m:val="b"/>
          </m:rPr>
          <w:rPr>
            <w:rFonts w:ascii="Cambria Math"/>
            <w:sz w:val="32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sz w:val="32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sz w:val="32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32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e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sz w:val="32"/>
                        <w:szCs w:val="28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O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28"/>
                      </w:rPr>
                      <m:t>t</m:t>
                    </m:r>
                  </m:sub>
                </m:sSub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</w:rPr>
                  <m:t>)</m:t>
                </m:r>
              </m:e>
              <m:sup>
                <m:r>
                  <m:rPr>
                    <m:sty m:val="b"/>
                  </m:rPr>
                  <w:rPr>
                    <w:rFonts w:ascii="Cambria Math"/>
                    <w:sz w:val="32"/>
                    <w:szCs w:val="28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b/>
                    <w:sz w:val="32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</w:rPr>
                  <m:t>P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28"/>
                  </w:rPr>
                  <m:t>e</m:t>
                </m:r>
              </m:sub>
            </m:sSub>
          </m:den>
        </m:f>
      </m:oMath>
      <w:r w:rsidR="00B03D47" w:rsidRPr="00B03D47">
        <w:rPr>
          <w:szCs w:val="28"/>
        </w:rPr>
        <w:t xml:space="preserve"> ,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где:</w:t>
      </w:r>
    </w:p>
    <w:p w:rsidR="00A84B0C" w:rsidRPr="00B61891" w:rsidRDefault="00B03D47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03D47">
        <w:rPr>
          <w:b/>
          <w:szCs w:val="28"/>
          <w:lang w:val="en-US"/>
        </w:rPr>
        <w:t>P</w:t>
      </w:r>
      <w:r w:rsidRPr="00B03D47">
        <w:rPr>
          <w:b/>
          <w:szCs w:val="28"/>
          <w:vertAlign w:val="subscript"/>
          <w:lang w:val="en-US"/>
        </w:rPr>
        <w:t>i</w:t>
      </w:r>
      <w:r w:rsidR="00A84B0C" w:rsidRPr="00B61891">
        <w:rPr>
          <w:szCs w:val="28"/>
        </w:rPr>
        <w:t xml:space="preserve"> - предельный размер оплаты акций (долей) в уставном (складочном) капитале юридического лица в рамках i-го этапа;</w:t>
      </w:r>
    </w:p>
    <w:p w:rsidR="00A84B0C" w:rsidRPr="00B61891" w:rsidRDefault="00B03D47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03D47">
        <w:rPr>
          <w:b/>
          <w:szCs w:val="28"/>
          <w:lang w:val="en-US"/>
        </w:rPr>
        <w:t>P</w:t>
      </w:r>
      <w:r w:rsidRPr="00B03D47">
        <w:rPr>
          <w:b/>
          <w:szCs w:val="28"/>
          <w:vertAlign w:val="subscript"/>
          <w:lang w:val="en-US"/>
        </w:rPr>
        <w:t>e</w:t>
      </w:r>
      <w:r w:rsidR="00A84B0C" w:rsidRPr="00B61891">
        <w:rPr>
          <w:szCs w:val="28"/>
        </w:rPr>
        <w:t xml:space="preserve"> - общий объем средств, предоставленных юридическому лицу на цели, определенные в соответствии с подпунктом "а" настоящего пункта, в том числе на основании других договоров о предоставлении бюджетных инвестиций;</w:t>
      </w:r>
    </w:p>
    <w:p w:rsidR="00A84B0C" w:rsidRPr="00B61891" w:rsidRDefault="00B03D47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03D47">
        <w:rPr>
          <w:b/>
          <w:szCs w:val="28"/>
          <w:lang w:val="en-US"/>
        </w:rPr>
        <w:t>O</w:t>
      </w:r>
      <w:r w:rsidRPr="00B03D47">
        <w:rPr>
          <w:b/>
          <w:szCs w:val="28"/>
          <w:vertAlign w:val="subscript"/>
          <w:lang w:val="en-US"/>
        </w:rPr>
        <w:t>t</w:t>
      </w:r>
      <w:r w:rsidR="00A84B0C" w:rsidRPr="00B61891">
        <w:rPr>
          <w:szCs w:val="28"/>
        </w:rPr>
        <w:t xml:space="preserve"> - объем средств, ранее предоставленных юридическому лицу и не использованных на цели, определенные в соответствии с подпунктом "а" настоящего пункта, в том числе на основании других договоров о предоставлении бюджетных инвестиций, по состоянию на дату оплаты акций (долей) в уставном (складочном) капитале юридического лица в рамках i-го этапа;</w:t>
      </w:r>
    </w:p>
    <w:p w:rsidR="00A84B0C" w:rsidRPr="00B61891" w:rsidRDefault="001845FB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е</w:t>
      </w:r>
      <w:r w:rsidR="00A84B0C" w:rsidRPr="00B61891">
        <w:rPr>
          <w:szCs w:val="28"/>
        </w:rPr>
        <w:t>) положения о запрете: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lastRenderedPageBreak/>
        <w:t>на приобретение юридическим лицом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на перечисление юридическим лицом полученных средств на счета</w:t>
      </w:r>
      <w:r w:rsidR="00B67130">
        <w:rPr>
          <w:szCs w:val="28"/>
        </w:rPr>
        <w:t xml:space="preserve"> </w:t>
      </w:r>
      <w:r w:rsidR="000D566B">
        <w:rPr>
          <w:szCs w:val="28"/>
        </w:rPr>
        <w:t xml:space="preserve">физических и юридических </w:t>
      </w:r>
      <w:r w:rsidR="00B67130">
        <w:rPr>
          <w:szCs w:val="28"/>
        </w:rPr>
        <w:t>лиц</w:t>
      </w:r>
      <w:r w:rsidRPr="00B61891">
        <w:rPr>
          <w:szCs w:val="28"/>
        </w:rPr>
        <w:t xml:space="preserve">, </w:t>
      </w:r>
      <w:r w:rsidR="0003139E" w:rsidRPr="00B61891">
        <w:rPr>
          <w:szCs w:val="28"/>
        </w:rPr>
        <w:t>открыты</w:t>
      </w:r>
      <w:r w:rsidR="0003139E">
        <w:rPr>
          <w:szCs w:val="28"/>
        </w:rPr>
        <w:t>е</w:t>
      </w:r>
      <w:r w:rsidR="0003139E" w:rsidRPr="00B61891">
        <w:rPr>
          <w:szCs w:val="28"/>
        </w:rPr>
        <w:t xml:space="preserve"> </w:t>
      </w:r>
      <w:r w:rsidRPr="00B61891">
        <w:rPr>
          <w:szCs w:val="28"/>
        </w:rPr>
        <w:t>в кредитн</w:t>
      </w:r>
      <w:r w:rsidR="00B67130">
        <w:rPr>
          <w:szCs w:val="28"/>
        </w:rPr>
        <w:t xml:space="preserve">ых </w:t>
      </w:r>
      <w:r w:rsidRPr="00B61891">
        <w:rPr>
          <w:szCs w:val="28"/>
        </w:rPr>
        <w:t>организаци</w:t>
      </w:r>
      <w:r w:rsidR="00B67130">
        <w:rPr>
          <w:szCs w:val="28"/>
        </w:rPr>
        <w:t>ях</w:t>
      </w:r>
      <w:r w:rsidRPr="00B61891">
        <w:rPr>
          <w:szCs w:val="28"/>
        </w:rPr>
        <w:t xml:space="preserve">, за исключением случаев оплаты обязательств </w:t>
      </w:r>
      <w:r w:rsidR="00B67130">
        <w:rPr>
          <w:szCs w:val="28"/>
        </w:rPr>
        <w:t xml:space="preserve">юридического лица – получателя бюджетных инвестиций по </w:t>
      </w:r>
      <w:r w:rsidRPr="00B61891">
        <w:rPr>
          <w:szCs w:val="28"/>
        </w:rPr>
        <w:t>оплат</w:t>
      </w:r>
      <w:r w:rsidR="00B67130">
        <w:rPr>
          <w:szCs w:val="28"/>
        </w:rPr>
        <w:t>е</w:t>
      </w:r>
      <w:r w:rsidRPr="00B61891">
        <w:rPr>
          <w:szCs w:val="28"/>
        </w:rPr>
        <w:t xml:space="preserve"> труда с учетом начислений и социальных выплат, иных выплат в пользу работников</w:t>
      </w:r>
      <w:r w:rsidR="00B67130">
        <w:rPr>
          <w:szCs w:val="28"/>
        </w:rPr>
        <w:t>,</w:t>
      </w:r>
      <w:r w:rsidRPr="00B61891">
        <w:rPr>
          <w:szCs w:val="28"/>
        </w:rPr>
        <w:t xml:space="preserve"> оплаты фактически выполненных юридическим лицом работ, оказанных услуг, поставленных товаров, источником финансового обеспечения которых являются указанные средства, а также возмещения произведенных юридическим лицом расходов (части расходов)</w:t>
      </w:r>
      <w:r w:rsidR="00B67130">
        <w:rPr>
          <w:szCs w:val="28"/>
        </w:rPr>
        <w:t>, связанных с целью предоставления бюджетных инвестиций</w:t>
      </w:r>
      <w:r w:rsidRPr="00B61891">
        <w:rPr>
          <w:szCs w:val="28"/>
        </w:rPr>
        <w:t>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на перечисление юридическим лицом полученных средств в качестве взносов в уставные (складочные) капиталы других организаций, если иное не предусмотрено договором о предоставлении бюджетных инвестиций, а в случае предоставления бюджетных инвестиций, указанных в абзаце втором пункта 1 статьи 80 Бюджетного кодекса Российской Федерации, - принятым </w:t>
      </w:r>
      <w:r w:rsidR="000B44B9" w:rsidRPr="00B61891">
        <w:rPr>
          <w:szCs w:val="28"/>
        </w:rPr>
        <w:t>в</w:t>
      </w:r>
      <w:r w:rsidRPr="00B61891">
        <w:rPr>
          <w:szCs w:val="28"/>
        </w:rPr>
        <w:t xml:space="preserve"> установленном </w:t>
      </w:r>
      <w:r w:rsidR="001845FB" w:rsidRPr="00B61891">
        <w:rPr>
          <w:szCs w:val="28"/>
        </w:rPr>
        <w:t>п</w:t>
      </w:r>
      <w:r w:rsidRPr="00B61891">
        <w:rPr>
          <w:szCs w:val="28"/>
        </w:rPr>
        <w:t xml:space="preserve">орядке </w:t>
      </w:r>
      <w:r w:rsidR="00B67130">
        <w:rPr>
          <w:szCs w:val="28"/>
        </w:rPr>
        <w:t xml:space="preserve">постановлением администрации </w:t>
      </w:r>
      <w:r w:rsidR="001845FB" w:rsidRPr="00B61891">
        <w:rPr>
          <w:szCs w:val="28"/>
        </w:rPr>
        <w:t>городского округа Кинель Самарской области</w:t>
      </w:r>
      <w:r w:rsidRPr="00B61891">
        <w:rPr>
          <w:szCs w:val="28"/>
        </w:rPr>
        <w:t>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на размещение юридическим лицом полученных средств на депозитах, а также в иных финансовых инструментах, если федеральными законами не предусмотрено иное;</w:t>
      </w:r>
    </w:p>
    <w:p w:rsidR="00A84B0C" w:rsidRPr="00B61891" w:rsidRDefault="001845FB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ж</w:t>
      </w:r>
      <w:r w:rsidR="00A84B0C" w:rsidRPr="00B61891">
        <w:rPr>
          <w:szCs w:val="28"/>
        </w:rPr>
        <w:t>) порядок и сроки предоставления юридическим лицом отчетности о расходах, источником финансового обеспечения которых являются предоставленные бюджетные инвестиции, и о достижении значений показателей результативности;</w:t>
      </w:r>
    </w:p>
    <w:p w:rsidR="00A84B0C" w:rsidRPr="00B61891" w:rsidRDefault="001845FB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lastRenderedPageBreak/>
        <w:t>з</w:t>
      </w:r>
      <w:r w:rsidR="00A84B0C" w:rsidRPr="00B61891">
        <w:rPr>
          <w:szCs w:val="28"/>
        </w:rPr>
        <w:t xml:space="preserve">) право </w:t>
      </w:r>
      <w:r w:rsidRPr="00B61891">
        <w:rPr>
          <w:szCs w:val="28"/>
        </w:rPr>
        <w:t>администрации городского округа Кинель Самарской области и органов муниципального финансового контроля</w:t>
      </w:r>
      <w:r w:rsidR="00A84B0C" w:rsidRPr="00B61891">
        <w:rPr>
          <w:szCs w:val="28"/>
        </w:rPr>
        <w:t xml:space="preserve"> на проведение проверок соблюдения юридическим лицом целей, условий и порядка предоставления бюджетных инвестиций;</w:t>
      </w:r>
    </w:p>
    <w:p w:rsidR="00A84B0C" w:rsidRPr="00B61891" w:rsidRDefault="001845FB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и</w:t>
      </w:r>
      <w:r w:rsidR="00A84B0C" w:rsidRPr="00B61891">
        <w:rPr>
          <w:szCs w:val="28"/>
        </w:rPr>
        <w:t>) ответственность юридического лица за нарушение условий, определенных договором о предоставлении бюджетных инвестиций;</w:t>
      </w:r>
    </w:p>
    <w:p w:rsidR="00A84B0C" w:rsidRPr="00B61891" w:rsidRDefault="001845FB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к</w:t>
      </w:r>
      <w:r w:rsidR="00A84B0C" w:rsidRPr="00B61891">
        <w:rPr>
          <w:szCs w:val="28"/>
        </w:rPr>
        <w:t>) в случае предоставления бюджетных инвестиций юридическому лицу для последующего предоставления взносов в уставные (складочные) капиталы его дочерних обществ (далее - дочерние общества):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наименования дочерних обществ;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целевое назначение предоставляемых взносов в уставные (складочные) капиталы дочерних обществ, соответствующее целевому назначению предоставляемых бюджетных инвестиций, и их объем с распределением по годам;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сроки перечисления взносов в уставные (складочные) капиталы дочерних обществ, которые не могут превышать 30 календарных дней со дня перечисления бюджетных инвестиций юридическому лицу, если </w:t>
      </w:r>
      <w:r w:rsidR="00B67130">
        <w:rPr>
          <w:szCs w:val="28"/>
        </w:rPr>
        <w:t xml:space="preserve">постановлением администрации </w:t>
      </w:r>
      <w:r w:rsidR="001845FB" w:rsidRPr="00B61891">
        <w:rPr>
          <w:szCs w:val="28"/>
        </w:rPr>
        <w:t>городского округа Кинель Самарской области</w:t>
      </w:r>
      <w:r w:rsidRPr="00B61891">
        <w:rPr>
          <w:szCs w:val="28"/>
        </w:rPr>
        <w:t xml:space="preserve"> не определены иные сроки или порядок определения указанных сроков;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положение о предоставлении юридическим лицом в составе отчетности, указанной в подпункте </w:t>
      </w:r>
      <w:r w:rsidR="00B67130">
        <w:rPr>
          <w:szCs w:val="28"/>
        </w:rPr>
        <w:t>«</w:t>
      </w:r>
      <w:r w:rsidR="001845FB" w:rsidRPr="00B61891">
        <w:rPr>
          <w:szCs w:val="28"/>
        </w:rPr>
        <w:t>ж</w:t>
      </w:r>
      <w:r w:rsidR="00B67130">
        <w:rPr>
          <w:szCs w:val="28"/>
        </w:rPr>
        <w:t>»</w:t>
      </w:r>
      <w:r w:rsidRPr="00B61891">
        <w:rPr>
          <w:szCs w:val="28"/>
        </w:rPr>
        <w:t xml:space="preserve"> настоящего пункта, информации об использовании дочерними обществами полученных средств;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положения о предоставлении взносов в уставные (складочные) капиталы дочерних обществ на условиях, предусматривающих право </w:t>
      </w:r>
      <w:r w:rsidR="00B67130">
        <w:rPr>
          <w:szCs w:val="28"/>
        </w:rPr>
        <w:t>администрации городского округа Кинель Самарской области, органам муниципального финансового контроля</w:t>
      </w:r>
      <w:r w:rsidRPr="00B61891">
        <w:rPr>
          <w:szCs w:val="28"/>
        </w:rPr>
        <w:t xml:space="preserve">, на проведение в отношении них проверок, предусмотренных подпунктом </w:t>
      </w:r>
      <w:r w:rsidR="008A67AE">
        <w:rPr>
          <w:szCs w:val="28"/>
        </w:rPr>
        <w:t>«</w:t>
      </w:r>
      <w:r w:rsidR="00B4357A" w:rsidRPr="00B61891">
        <w:rPr>
          <w:szCs w:val="28"/>
        </w:rPr>
        <w:t>з</w:t>
      </w:r>
      <w:r w:rsidR="008A67AE">
        <w:rPr>
          <w:szCs w:val="28"/>
        </w:rPr>
        <w:t>»</w:t>
      </w:r>
      <w:r w:rsidRPr="00B61891">
        <w:rPr>
          <w:szCs w:val="28"/>
        </w:rPr>
        <w:t xml:space="preserve"> настоящего пункта;</w:t>
      </w:r>
    </w:p>
    <w:p w:rsidR="00A84B0C" w:rsidRPr="00B61891" w:rsidRDefault="00A84B0C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обязательство юридического лица по предоставлению взносов в уставные (складочные) капиталы дочерних обществ на условиях, указанных </w:t>
      </w:r>
      <w:r w:rsidRPr="00B61891">
        <w:rPr>
          <w:szCs w:val="28"/>
        </w:rPr>
        <w:lastRenderedPageBreak/>
        <w:t xml:space="preserve">в </w:t>
      </w:r>
      <w:r w:rsidR="00B4357A" w:rsidRPr="00B61891">
        <w:rPr>
          <w:szCs w:val="28"/>
        </w:rPr>
        <w:t>насто</w:t>
      </w:r>
      <w:r w:rsidRPr="00B61891">
        <w:rPr>
          <w:szCs w:val="28"/>
        </w:rPr>
        <w:t xml:space="preserve">ящих </w:t>
      </w:r>
      <w:r w:rsidR="00B4357A" w:rsidRPr="00B61891">
        <w:rPr>
          <w:szCs w:val="28"/>
        </w:rPr>
        <w:t>Требованиях</w:t>
      </w:r>
      <w:r w:rsidRPr="00B61891">
        <w:rPr>
          <w:szCs w:val="28"/>
        </w:rPr>
        <w:t>, в соответствии с договорами, заключаемыми с каждым из дочерних обществ, а также ответственность юридического лица за нарушение дочерними обществами указанных условий.</w:t>
      </w:r>
    </w:p>
    <w:p w:rsidR="00B4357A" w:rsidRPr="00B61891" w:rsidRDefault="00B4357A" w:rsidP="00B61891">
      <w:pPr>
        <w:pStyle w:val="aa"/>
        <w:numPr>
          <w:ilvl w:val="0"/>
          <w:numId w:val="3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891">
        <w:rPr>
          <w:rFonts w:ascii="Times New Roman" w:hAnsi="Times New Roman" w:cs="Times New Roman"/>
          <w:sz w:val="28"/>
          <w:szCs w:val="28"/>
        </w:rPr>
        <w:t xml:space="preserve">В случае предоставления бюджетных инвестиций юридическому лицу на осуществление капитальных вложений в объекты капитального строительства, находящиеся в собственности юридического лица, и (или) на приобретение им объектов недвижимого имущества, либо для последующего предоставления взноса в уставные (складочные) капиталы дочерних обществ на осуществление капитальных вложений в объекты капитального строительства, находящиеся в собственности дочерних обществ, и (или) на приобретение ими объектов недвижимого имущества договор о предоставлении бюджетных инвестиций должен в дополнение к условиям, указанным в пункте 4 настоящих Требований, содержать: </w:t>
      </w:r>
    </w:p>
    <w:p w:rsidR="00B4357A" w:rsidRPr="00B61891" w:rsidRDefault="00B4357A" w:rsidP="00B61891">
      <w:pPr>
        <w:spacing w:line="360" w:lineRule="auto"/>
        <w:ind w:firstLine="720"/>
        <w:contextualSpacing/>
        <w:jc w:val="both"/>
        <w:rPr>
          <w:strike/>
          <w:szCs w:val="28"/>
        </w:rPr>
      </w:pPr>
      <w:r w:rsidRPr="00B61891">
        <w:rPr>
          <w:szCs w:val="28"/>
        </w:rPr>
        <w:t>а) в отношении каждого объекта информацию о его наименовании, мощности, сроках строительства, реконструкции, в том числе с элементами реставрации, технического перевооружения или приобретения, сметной или предполагаемой (предельной) стоимости либо стоимости приобретения, а также об общем объеме капитальных вложений за счет всех источников финансового обеспечения с указанием объема предоставляемых бюджетных инвестиций;</w:t>
      </w:r>
    </w:p>
    <w:p w:rsidR="00B4357A" w:rsidRPr="00B61891" w:rsidRDefault="00B4357A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б) график осуществления мероприятий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 обязательство юридического лица по его выполнению;</w:t>
      </w:r>
    </w:p>
    <w:p w:rsidR="00B4357A" w:rsidRPr="00B61891" w:rsidRDefault="00B4357A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в) обязанность юридического лица обеспечить направление на осуществление мероприятий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</w:t>
      </w:r>
      <w:r w:rsidRPr="00B61891">
        <w:rPr>
          <w:szCs w:val="28"/>
        </w:rPr>
        <w:lastRenderedPageBreak/>
        <w:t>имущества внебюджетных источников финансового обеспечения в объеме, предусмотренном паспортом инвестиционного проекта;</w:t>
      </w:r>
    </w:p>
    <w:p w:rsidR="00B4357A" w:rsidRPr="00B61891" w:rsidRDefault="00B4357A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г) обязанность юридического лица обеспечить разработку проектной документации по объектам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строительства;</w:t>
      </w:r>
    </w:p>
    <w:p w:rsidR="00B4357A" w:rsidRPr="00B61891" w:rsidRDefault="00B4357A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>д) условие о соблюдении юридическим лицом при осуществлении закупок,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4357A" w:rsidRPr="00B61891" w:rsidRDefault="00B4357A" w:rsidP="00B61891">
      <w:pPr>
        <w:spacing w:line="360" w:lineRule="auto"/>
        <w:ind w:firstLine="720"/>
        <w:contextualSpacing/>
        <w:jc w:val="both"/>
        <w:rPr>
          <w:szCs w:val="28"/>
        </w:rPr>
      </w:pPr>
      <w:r w:rsidRPr="00B61891">
        <w:rPr>
          <w:szCs w:val="28"/>
        </w:rPr>
        <w:t xml:space="preserve">е) положение о предоставлении юридическим лицом в составе отчетности, указанной в подпункте </w:t>
      </w:r>
      <w:r w:rsidR="00694540">
        <w:rPr>
          <w:szCs w:val="28"/>
        </w:rPr>
        <w:t>«</w:t>
      </w:r>
      <w:r w:rsidRPr="00B61891">
        <w:rPr>
          <w:szCs w:val="28"/>
        </w:rPr>
        <w:t>ж</w:t>
      </w:r>
      <w:r w:rsidR="00694540">
        <w:rPr>
          <w:szCs w:val="28"/>
        </w:rPr>
        <w:t>»</w:t>
      </w:r>
      <w:r w:rsidRPr="00B61891">
        <w:rPr>
          <w:szCs w:val="28"/>
        </w:rPr>
        <w:t xml:space="preserve"> пункта 5 настоящих Требований, информации о выполнении графика осуществления мероприятий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имущества.</w:t>
      </w:r>
    </w:p>
    <w:sectPr w:rsidR="00B4357A" w:rsidRPr="00B61891" w:rsidSect="00A33542">
      <w:pgSz w:w="11906" w:h="16838" w:code="9"/>
      <w:pgMar w:top="1134" w:right="113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8BE" w:rsidRDefault="00AF08BE" w:rsidP="00F04F24">
      <w:r>
        <w:separator/>
      </w:r>
    </w:p>
  </w:endnote>
  <w:endnote w:type="continuationSeparator" w:id="0">
    <w:p w:rsidR="00AF08BE" w:rsidRDefault="00AF08BE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8BE" w:rsidRDefault="00AF08BE" w:rsidP="00F04F24">
      <w:r>
        <w:separator/>
      </w:r>
    </w:p>
  </w:footnote>
  <w:footnote w:type="continuationSeparator" w:id="0">
    <w:p w:rsidR="00AF08BE" w:rsidRDefault="00AF08BE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0FBB1FC5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6D6181"/>
    <w:multiLevelType w:val="hybridMultilevel"/>
    <w:tmpl w:val="9766C684"/>
    <w:lvl w:ilvl="0" w:tplc="1E6208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9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2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17"/>
  </w:num>
  <w:num w:numId="4">
    <w:abstractNumId w:val="18"/>
  </w:num>
  <w:num w:numId="5">
    <w:abstractNumId w:val="28"/>
  </w:num>
  <w:num w:numId="6">
    <w:abstractNumId w:val="11"/>
  </w:num>
  <w:num w:numId="7">
    <w:abstractNumId w:val="23"/>
  </w:num>
  <w:num w:numId="8">
    <w:abstractNumId w:val="9"/>
  </w:num>
  <w:num w:numId="9">
    <w:abstractNumId w:val="1"/>
  </w:num>
  <w:num w:numId="10">
    <w:abstractNumId w:val="6"/>
  </w:num>
  <w:num w:numId="11">
    <w:abstractNumId w:val="24"/>
  </w:num>
  <w:num w:numId="12">
    <w:abstractNumId w:val="31"/>
  </w:num>
  <w:num w:numId="13">
    <w:abstractNumId w:val="26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3"/>
  </w:num>
  <w:num w:numId="17">
    <w:abstractNumId w:val="3"/>
  </w:num>
  <w:num w:numId="18">
    <w:abstractNumId w:val="20"/>
  </w:num>
  <w:num w:numId="19">
    <w:abstractNumId w:val="27"/>
  </w:num>
  <w:num w:numId="20">
    <w:abstractNumId w:val="29"/>
  </w:num>
  <w:num w:numId="21">
    <w:abstractNumId w:val="22"/>
  </w:num>
  <w:num w:numId="22">
    <w:abstractNumId w:val="12"/>
  </w:num>
  <w:num w:numId="23">
    <w:abstractNumId w:val="2"/>
  </w:num>
  <w:num w:numId="24">
    <w:abstractNumId w:val="34"/>
  </w:num>
  <w:num w:numId="25">
    <w:abstractNumId w:val="30"/>
  </w:num>
  <w:num w:numId="26">
    <w:abstractNumId w:val="5"/>
  </w:num>
  <w:num w:numId="27">
    <w:abstractNumId w:val="21"/>
  </w:num>
  <w:num w:numId="28">
    <w:abstractNumId w:val="35"/>
  </w:num>
  <w:num w:numId="29">
    <w:abstractNumId w:val="25"/>
  </w:num>
  <w:num w:numId="30">
    <w:abstractNumId w:val="7"/>
  </w:num>
  <w:num w:numId="31">
    <w:abstractNumId w:val="15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4"/>
  </w:num>
  <w:num w:numId="35">
    <w:abstractNumId w:val="1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128B2"/>
    <w:rsid w:val="000229FC"/>
    <w:rsid w:val="000231FC"/>
    <w:rsid w:val="00024320"/>
    <w:rsid w:val="00027652"/>
    <w:rsid w:val="00027749"/>
    <w:rsid w:val="00030340"/>
    <w:rsid w:val="0003139E"/>
    <w:rsid w:val="00033823"/>
    <w:rsid w:val="0003434A"/>
    <w:rsid w:val="00035133"/>
    <w:rsid w:val="00035136"/>
    <w:rsid w:val="0003754E"/>
    <w:rsid w:val="00037729"/>
    <w:rsid w:val="00037B5C"/>
    <w:rsid w:val="00041FEC"/>
    <w:rsid w:val="00044ECB"/>
    <w:rsid w:val="00047A79"/>
    <w:rsid w:val="000524A8"/>
    <w:rsid w:val="0005704B"/>
    <w:rsid w:val="00057B64"/>
    <w:rsid w:val="00060980"/>
    <w:rsid w:val="0006118D"/>
    <w:rsid w:val="00062A3F"/>
    <w:rsid w:val="00066E81"/>
    <w:rsid w:val="00067448"/>
    <w:rsid w:val="000678A7"/>
    <w:rsid w:val="00070C98"/>
    <w:rsid w:val="000738D3"/>
    <w:rsid w:val="00081C7A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B44B9"/>
    <w:rsid w:val="000D150B"/>
    <w:rsid w:val="000D566B"/>
    <w:rsid w:val="000D71D7"/>
    <w:rsid w:val="000D76F2"/>
    <w:rsid w:val="000E0C2D"/>
    <w:rsid w:val="000E113D"/>
    <w:rsid w:val="000E2777"/>
    <w:rsid w:val="000E326E"/>
    <w:rsid w:val="000F04A2"/>
    <w:rsid w:val="000F280E"/>
    <w:rsid w:val="000F2821"/>
    <w:rsid w:val="000F48A3"/>
    <w:rsid w:val="00106173"/>
    <w:rsid w:val="00113D6F"/>
    <w:rsid w:val="001164B5"/>
    <w:rsid w:val="00117600"/>
    <w:rsid w:val="00123945"/>
    <w:rsid w:val="00125DF7"/>
    <w:rsid w:val="00133CE8"/>
    <w:rsid w:val="001359C1"/>
    <w:rsid w:val="001427A2"/>
    <w:rsid w:val="001451E1"/>
    <w:rsid w:val="00160665"/>
    <w:rsid w:val="00172FD3"/>
    <w:rsid w:val="001756FA"/>
    <w:rsid w:val="00175BD3"/>
    <w:rsid w:val="0017609B"/>
    <w:rsid w:val="00180AFD"/>
    <w:rsid w:val="00182B69"/>
    <w:rsid w:val="001845FB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1F3F53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4486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0A07"/>
    <w:rsid w:val="002A436E"/>
    <w:rsid w:val="002B556D"/>
    <w:rsid w:val="002C011E"/>
    <w:rsid w:val="002C3EEB"/>
    <w:rsid w:val="002C3FB9"/>
    <w:rsid w:val="002C41CE"/>
    <w:rsid w:val="002D0030"/>
    <w:rsid w:val="002D1C1A"/>
    <w:rsid w:val="002D224B"/>
    <w:rsid w:val="002E20F5"/>
    <w:rsid w:val="002E5AAA"/>
    <w:rsid w:val="002F1B8D"/>
    <w:rsid w:val="002F31A6"/>
    <w:rsid w:val="002F51F3"/>
    <w:rsid w:val="002F72EE"/>
    <w:rsid w:val="00302780"/>
    <w:rsid w:val="00304FB2"/>
    <w:rsid w:val="003064E7"/>
    <w:rsid w:val="0031384E"/>
    <w:rsid w:val="003141E1"/>
    <w:rsid w:val="00314923"/>
    <w:rsid w:val="00315AD1"/>
    <w:rsid w:val="003162D2"/>
    <w:rsid w:val="00316E88"/>
    <w:rsid w:val="003170E8"/>
    <w:rsid w:val="00317F13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4CE3"/>
    <w:rsid w:val="00386EFF"/>
    <w:rsid w:val="003933B5"/>
    <w:rsid w:val="0039551D"/>
    <w:rsid w:val="003A2605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D7A05"/>
    <w:rsid w:val="003E531D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238B3"/>
    <w:rsid w:val="00424C2C"/>
    <w:rsid w:val="00425247"/>
    <w:rsid w:val="00426C49"/>
    <w:rsid w:val="0043264F"/>
    <w:rsid w:val="004424C3"/>
    <w:rsid w:val="00442C77"/>
    <w:rsid w:val="0044685A"/>
    <w:rsid w:val="00463841"/>
    <w:rsid w:val="0046408F"/>
    <w:rsid w:val="004675CC"/>
    <w:rsid w:val="004702A9"/>
    <w:rsid w:val="004712F0"/>
    <w:rsid w:val="004729AC"/>
    <w:rsid w:val="0047356C"/>
    <w:rsid w:val="00476F46"/>
    <w:rsid w:val="00477083"/>
    <w:rsid w:val="00481799"/>
    <w:rsid w:val="00490C8D"/>
    <w:rsid w:val="00491BDE"/>
    <w:rsid w:val="004963C8"/>
    <w:rsid w:val="004A13CE"/>
    <w:rsid w:val="004A21C6"/>
    <w:rsid w:val="004A2C14"/>
    <w:rsid w:val="004A2C5C"/>
    <w:rsid w:val="004A3273"/>
    <w:rsid w:val="004A4CA5"/>
    <w:rsid w:val="004A56AA"/>
    <w:rsid w:val="004B4968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1838"/>
    <w:rsid w:val="005029DA"/>
    <w:rsid w:val="005055D6"/>
    <w:rsid w:val="0051162A"/>
    <w:rsid w:val="005119A0"/>
    <w:rsid w:val="005133E0"/>
    <w:rsid w:val="00520475"/>
    <w:rsid w:val="00520486"/>
    <w:rsid w:val="00523E6A"/>
    <w:rsid w:val="005247ED"/>
    <w:rsid w:val="00525EBA"/>
    <w:rsid w:val="00534CE7"/>
    <w:rsid w:val="0054028B"/>
    <w:rsid w:val="00544516"/>
    <w:rsid w:val="005470D7"/>
    <w:rsid w:val="0054776A"/>
    <w:rsid w:val="00552AF1"/>
    <w:rsid w:val="00555A40"/>
    <w:rsid w:val="00555D17"/>
    <w:rsid w:val="0057414A"/>
    <w:rsid w:val="005758AF"/>
    <w:rsid w:val="00575CAB"/>
    <w:rsid w:val="00580583"/>
    <w:rsid w:val="00586284"/>
    <w:rsid w:val="0059509F"/>
    <w:rsid w:val="0059529F"/>
    <w:rsid w:val="00595A78"/>
    <w:rsid w:val="005A1309"/>
    <w:rsid w:val="005A1C36"/>
    <w:rsid w:val="005A49A5"/>
    <w:rsid w:val="005A7AC0"/>
    <w:rsid w:val="005B05BA"/>
    <w:rsid w:val="005B1202"/>
    <w:rsid w:val="005B13AA"/>
    <w:rsid w:val="005B1F6B"/>
    <w:rsid w:val="005C03FA"/>
    <w:rsid w:val="005D240B"/>
    <w:rsid w:val="005D435F"/>
    <w:rsid w:val="005D69A8"/>
    <w:rsid w:val="005E0F50"/>
    <w:rsid w:val="005E1E4A"/>
    <w:rsid w:val="005E261E"/>
    <w:rsid w:val="005E2B8F"/>
    <w:rsid w:val="005E4CD2"/>
    <w:rsid w:val="005E638E"/>
    <w:rsid w:val="005E6948"/>
    <w:rsid w:val="005F27FE"/>
    <w:rsid w:val="005F2E35"/>
    <w:rsid w:val="005F3764"/>
    <w:rsid w:val="00605061"/>
    <w:rsid w:val="0060532E"/>
    <w:rsid w:val="006072F2"/>
    <w:rsid w:val="00607ABE"/>
    <w:rsid w:val="006108B6"/>
    <w:rsid w:val="00611B00"/>
    <w:rsid w:val="00611D9B"/>
    <w:rsid w:val="00614556"/>
    <w:rsid w:val="00622212"/>
    <w:rsid w:val="006233B0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638"/>
    <w:rsid w:val="00642A48"/>
    <w:rsid w:val="00646CA1"/>
    <w:rsid w:val="00651793"/>
    <w:rsid w:val="00654A27"/>
    <w:rsid w:val="006628FB"/>
    <w:rsid w:val="00665809"/>
    <w:rsid w:val="006718EA"/>
    <w:rsid w:val="00677A82"/>
    <w:rsid w:val="00691B30"/>
    <w:rsid w:val="00694540"/>
    <w:rsid w:val="00694558"/>
    <w:rsid w:val="0069546C"/>
    <w:rsid w:val="00695EDE"/>
    <w:rsid w:val="006972D4"/>
    <w:rsid w:val="006A15FD"/>
    <w:rsid w:val="006A1FA6"/>
    <w:rsid w:val="006A2909"/>
    <w:rsid w:val="006A6E76"/>
    <w:rsid w:val="006A717B"/>
    <w:rsid w:val="006A7EBB"/>
    <w:rsid w:val="006B6B36"/>
    <w:rsid w:val="006B781E"/>
    <w:rsid w:val="006C217C"/>
    <w:rsid w:val="006C2243"/>
    <w:rsid w:val="006D2770"/>
    <w:rsid w:val="006D4491"/>
    <w:rsid w:val="006D6A74"/>
    <w:rsid w:val="006D72F0"/>
    <w:rsid w:val="006E09E7"/>
    <w:rsid w:val="006E0B29"/>
    <w:rsid w:val="006E7233"/>
    <w:rsid w:val="006E76BA"/>
    <w:rsid w:val="006F6F0E"/>
    <w:rsid w:val="00703965"/>
    <w:rsid w:val="0070503F"/>
    <w:rsid w:val="007077EB"/>
    <w:rsid w:val="007167EF"/>
    <w:rsid w:val="0071782B"/>
    <w:rsid w:val="007257A3"/>
    <w:rsid w:val="00725BF0"/>
    <w:rsid w:val="00726C02"/>
    <w:rsid w:val="0073404A"/>
    <w:rsid w:val="007408CD"/>
    <w:rsid w:val="00741B53"/>
    <w:rsid w:val="007428C4"/>
    <w:rsid w:val="00747CC0"/>
    <w:rsid w:val="007544CD"/>
    <w:rsid w:val="00763F1A"/>
    <w:rsid w:val="00770DD9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9366E"/>
    <w:rsid w:val="00794578"/>
    <w:rsid w:val="007A0F4C"/>
    <w:rsid w:val="007A0F64"/>
    <w:rsid w:val="007A2D1F"/>
    <w:rsid w:val="007A6F17"/>
    <w:rsid w:val="007B1D8B"/>
    <w:rsid w:val="007B23CB"/>
    <w:rsid w:val="007B4C85"/>
    <w:rsid w:val="007C1F64"/>
    <w:rsid w:val="007C5F4F"/>
    <w:rsid w:val="007C770A"/>
    <w:rsid w:val="007D0843"/>
    <w:rsid w:val="007D28B5"/>
    <w:rsid w:val="007D5682"/>
    <w:rsid w:val="007E09B8"/>
    <w:rsid w:val="007E1E4C"/>
    <w:rsid w:val="007F1DEF"/>
    <w:rsid w:val="007F7E77"/>
    <w:rsid w:val="008003D7"/>
    <w:rsid w:val="00801261"/>
    <w:rsid w:val="00801B6A"/>
    <w:rsid w:val="00801DA9"/>
    <w:rsid w:val="00803EA3"/>
    <w:rsid w:val="008047DD"/>
    <w:rsid w:val="008049B0"/>
    <w:rsid w:val="00804DDE"/>
    <w:rsid w:val="00807D4D"/>
    <w:rsid w:val="0081199B"/>
    <w:rsid w:val="00812DB7"/>
    <w:rsid w:val="00813C69"/>
    <w:rsid w:val="00813E4F"/>
    <w:rsid w:val="0081574F"/>
    <w:rsid w:val="0081606B"/>
    <w:rsid w:val="00821489"/>
    <w:rsid w:val="008214F8"/>
    <w:rsid w:val="008242DC"/>
    <w:rsid w:val="00824895"/>
    <w:rsid w:val="00824E93"/>
    <w:rsid w:val="00826F64"/>
    <w:rsid w:val="0082764F"/>
    <w:rsid w:val="00833AED"/>
    <w:rsid w:val="00834C5F"/>
    <w:rsid w:val="00837BBC"/>
    <w:rsid w:val="008412DC"/>
    <w:rsid w:val="00842CF5"/>
    <w:rsid w:val="00843507"/>
    <w:rsid w:val="00844113"/>
    <w:rsid w:val="00844946"/>
    <w:rsid w:val="0084540B"/>
    <w:rsid w:val="00852F9B"/>
    <w:rsid w:val="0086161C"/>
    <w:rsid w:val="00861AD1"/>
    <w:rsid w:val="00862C01"/>
    <w:rsid w:val="00866A10"/>
    <w:rsid w:val="00881638"/>
    <w:rsid w:val="008843D4"/>
    <w:rsid w:val="00887FB0"/>
    <w:rsid w:val="00890B72"/>
    <w:rsid w:val="008938E3"/>
    <w:rsid w:val="0089673D"/>
    <w:rsid w:val="008A086B"/>
    <w:rsid w:val="008A67AE"/>
    <w:rsid w:val="008A6BB5"/>
    <w:rsid w:val="008B39BD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169B9"/>
    <w:rsid w:val="0092228F"/>
    <w:rsid w:val="00922551"/>
    <w:rsid w:val="00923A4F"/>
    <w:rsid w:val="00924F84"/>
    <w:rsid w:val="00925795"/>
    <w:rsid w:val="00930007"/>
    <w:rsid w:val="009322C5"/>
    <w:rsid w:val="0093614E"/>
    <w:rsid w:val="009444B5"/>
    <w:rsid w:val="009502D2"/>
    <w:rsid w:val="0095286E"/>
    <w:rsid w:val="00953E44"/>
    <w:rsid w:val="00962A19"/>
    <w:rsid w:val="00964EB8"/>
    <w:rsid w:val="00973EA0"/>
    <w:rsid w:val="009744D4"/>
    <w:rsid w:val="009763DF"/>
    <w:rsid w:val="00977E8D"/>
    <w:rsid w:val="0099182F"/>
    <w:rsid w:val="00991C67"/>
    <w:rsid w:val="00993E29"/>
    <w:rsid w:val="009A1269"/>
    <w:rsid w:val="009A5703"/>
    <w:rsid w:val="009A5DC9"/>
    <w:rsid w:val="009B5A26"/>
    <w:rsid w:val="009B697F"/>
    <w:rsid w:val="009C16A4"/>
    <w:rsid w:val="009C1D06"/>
    <w:rsid w:val="009C37AD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106D3"/>
    <w:rsid w:val="00A12DD4"/>
    <w:rsid w:val="00A22E38"/>
    <w:rsid w:val="00A26EC2"/>
    <w:rsid w:val="00A27347"/>
    <w:rsid w:val="00A318A8"/>
    <w:rsid w:val="00A33542"/>
    <w:rsid w:val="00A340EF"/>
    <w:rsid w:val="00A406A2"/>
    <w:rsid w:val="00A4155E"/>
    <w:rsid w:val="00A4494D"/>
    <w:rsid w:val="00A47431"/>
    <w:rsid w:val="00A521DA"/>
    <w:rsid w:val="00A52E30"/>
    <w:rsid w:val="00A57F8B"/>
    <w:rsid w:val="00A63D7C"/>
    <w:rsid w:val="00A63F69"/>
    <w:rsid w:val="00A66B9F"/>
    <w:rsid w:val="00A67132"/>
    <w:rsid w:val="00A67B2F"/>
    <w:rsid w:val="00A71F4F"/>
    <w:rsid w:val="00A742C0"/>
    <w:rsid w:val="00A77158"/>
    <w:rsid w:val="00A84B0C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B538E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08BE"/>
    <w:rsid w:val="00AF1B3D"/>
    <w:rsid w:val="00AF47E9"/>
    <w:rsid w:val="00AF4825"/>
    <w:rsid w:val="00AF4CF1"/>
    <w:rsid w:val="00AF5B91"/>
    <w:rsid w:val="00B01A86"/>
    <w:rsid w:val="00B02354"/>
    <w:rsid w:val="00B03D47"/>
    <w:rsid w:val="00B067ED"/>
    <w:rsid w:val="00B072EC"/>
    <w:rsid w:val="00B079C0"/>
    <w:rsid w:val="00B128CA"/>
    <w:rsid w:val="00B136E1"/>
    <w:rsid w:val="00B2397B"/>
    <w:rsid w:val="00B24E4B"/>
    <w:rsid w:val="00B25AF9"/>
    <w:rsid w:val="00B277BF"/>
    <w:rsid w:val="00B335C3"/>
    <w:rsid w:val="00B40327"/>
    <w:rsid w:val="00B4357A"/>
    <w:rsid w:val="00B51FEC"/>
    <w:rsid w:val="00B544AD"/>
    <w:rsid w:val="00B54C67"/>
    <w:rsid w:val="00B54CA9"/>
    <w:rsid w:val="00B61891"/>
    <w:rsid w:val="00B64A9B"/>
    <w:rsid w:val="00B65E70"/>
    <w:rsid w:val="00B667AD"/>
    <w:rsid w:val="00B67130"/>
    <w:rsid w:val="00B7330F"/>
    <w:rsid w:val="00B74E0F"/>
    <w:rsid w:val="00B8367E"/>
    <w:rsid w:val="00B86519"/>
    <w:rsid w:val="00B869EC"/>
    <w:rsid w:val="00B92976"/>
    <w:rsid w:val="00B940DE"/>
    <w:rsid w:val="00B9643F"/>
    <w:rsid w:val="00BA0F1D"/>
    <w:rsid w:val="00BA3445"/>
    <w:rsid w:val="00BA47FC"/>
    <w:rsid w:val="00BA572B"/>
    <w:rsid w:val="00BA684A"/>
    <w:rsid w:val="00BA68DB"/>
    <w:rsid w:val="00BC097C"/>
    <w:rsid w:val="00BC402E"/>
    <w:rsid w:val="00BC5A03"/>
    <w:rsid w:val="00BD0C69"/>
    <w:rsid w:val="00BD0EFA"/>
    <w:rsid w:val="00BD1559"/>
    <w:rsid w:val="00BD3796"/>
    <w:rsid w:val="00BD4E41"/>
    <w:rsid w:val="00BD6469"/>
    <w:rsid w:val="00BD69EE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49C2"/>
    <w:rsid w:val="00C157D4"/>
    <w:rsid w:val="00C16F71"/>
    <w:rsid w:val="00C21D3B"/>
    <w:rsid w:val="00C22296"/>
    <w:rsid w:val="00C24EFD"/>
    <w:rsid w:val="00C251EF"/>
    <w:rsid w:val="00C2529D"/>
    <w:rsid w:val="00C25C4A"/>
    <w:rsid w:val="00C2716C"/>
    <w:rsid w:val="00C35528"/>
    <w:rsid w:val="00C40D4C"/>
    <w:rsid w:val="00C42BA0"/>
    <w:rsid w:val="00C43F62"/>
    <w:rsid w:val="00C466B0"/>
    <w:rsid w:val="00C46FC8"/>
    <w:rsid w:val="00C47DFF"/>
    <w:rsid w:val="00C511B8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7C1C"/>
    <w:rsid w:val="00C80287"/>
    <w:rsid w:val="00C813B1"/>
    <w:rsid w:val="00C81959"/>
    <w:rsid w:val="00C84621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B6BFB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11616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9339D"/>
    <w:rsid w:val="00DA0475"/>
    <w:rsid w:val="00DA22C0"/>
    <w:rsid w:val="00DA418D"/>
    <w:rsid w:val="00DA5655"/>
    <w:rsid w:val="00DA638A"/>
    <w:rsid w:val="00DB00C6"/>
    <w:rsid w:val="00DB0330"/>
    <w:rsid w:val="00DC1BED"/>
    <w:rsid w:val="00DC7314"/>
    <w:rsid w:val="00DD3583"/>
    <w:rsid w:val="00DE0BE2"/>
    <w:rsid w:val="00DF187B"/>
    <w:rsid w:val="00DF5C3C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108D"/>
    <w:rsid w:val="00E52EC9"/>
    <w:rsid w:val="00E618D5"/>
    <w:rsid w:val="00E61F37"/>
    <w:rsid w:val="00E623BB"/>
    <w:rsid w:val="00E65AAC"/>
    <w:rsid w:val="00E667DA"/>
    <w:rsid w:val="00E7033E"/>
    <w:rsid w:val="00E7051B"/>
    <w:rsid w:val="00E82685"/>
    <w:rsid w:val="00E82F52"/>
    <w:rsid w:val="00E8360D"/>
    <w:rsid w:val="00E84A89"/>
    <w:rsid w:val="00E96887"/>
    <w:rsid w:val="00E97A3F"/>
    <w:rsid w:val="00EA04A5"/>
    <w:rsid w:val="00EA1190"/>
    <w:rsid w:val="00EA1707"/>
    <w:rsid w:val="00EA1BAD"/>
    <w:rsid w:val="00EA2E66"/>
    <w:rsid w:val="00EB4408"/>
    <w:rsid w:val="00EC3CF6"/>
    <w:rsid w:val="00EC50BE"/>
    <w:rsid w:val="00EC5BBB"/>
    <w:rsid w:val="00EC7C65"/>
    <w:rsid w:val="00ED56A8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37294"/>
    <w:rsid w:val="00F51DD7"/>
    <w:rsid w:val="00F5734C"/>
    <w:rsid w:val="00F5745E"/>
    <w:rsid w:val="00F60656"/>
    <w:rsid w:val="00F62518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135E"/>
    <w:rsid w:val="00FA4334"/>
    <w:rsid w:val="00FA74A6"/>
    <w:rsid w:val="00FB2BE8"/>
    <w:rsid w:val="00FB3E35"/>
    <w:rsid w:val="00FB500D"/>
    <w:rsid w:val="00FB582C"/>
    <w:rsid w:val="00FB7F9B"/>
    <w:rsid w:val="00FC2405"/>
    <w:rsid w:val="00FC3D67"/>
    <w:rsid w:val="00FD4EA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character" w:styleId="ab">
    <w:name w:val="Hyperlink"/>
    <w:basedOn w:val="a0"/>
    <w:uiPriority w:val="99"/>
    <w:unhideWhenUsed/>
    <w:rsid w:val="00A84B0C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B03D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D104-92BA-4A55-A4C1-4AA1FF7C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320</TotalTime>
  <Pages>7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21</cp:revision>
  <cp:lastPrinted>2016-12-29T06:40:00Z</cp:lastPrinted>
  <dcterms:created xsi:type="dcterms:W3CDTF">2016-12-27T10:35:00Z</dcterms:created>
  <dcterms:modified xsi:type="dcterms:W3CDTF">2016-12-29T06:19:00Z</dcterms:modified>
</cp:coreProperties>
</file>