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982162" w:rsidP="00982162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982162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877E29">
              <w:t xml:space="preserve">, </w:t>
            </w:r>
            <w:r w:rsidR="005A41BC">
              <w:t xml:space="preserve">   </w:t>
            </w:r>
            <w:r w:rsidR="00877E29">
              <w:t>8 октября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004DB3">
        <w:t>, 15 августа 2019г.</w:t>
      </w:r>
      <w:r w:rsidR="00877E29">
        <w:t>, 8 октября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D0058C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877E29">
        <w:t xml:space="preserve">2-3, 6-7, 10-13, 18-23, 158 </w:t>
      </w:r>
      <w:r w:rsidR="00F055BA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877E29">
        <w:rPr>
          <w:sz w:val="26"/>
          <w:szCs w:val="26"/>
        </w:rPr>
        <w:t>___________</w:t>
      </w:r>
      <w:r w:rsidR="008C72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77E29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>н 2: X – 395213,45; Y – 2199076,52</w:t>
            </w:r>
            <w:r>
              <w:rPr>
                <w:color w:val="000000"/>
                <w:sz w:val="16"/>
                <w:szCs w:val="16"/>
              </w:rPr>
              <w:br/>
              <w:t>н 3: X – 395213,57; 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Y – 2199073,53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0665EC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29" w:rsidRDefault="00BB5F29" w:rsidP="00DC1441">
      <w:pPr>
        <w:spacing w:line="240" w:lineRule="auto"/>
      </w:pPr>
      <w:r>
        <w:separator/>
      </w:r>
    </w:p>
  </w:endnote>
  <w:endnote w:type="continuationSeparator" w:id="1">
    <w:p w:rsidR="00BB5F29" w:rsidRDefault="00BB5F2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29" w:rsidRDefault="00BB5F29" w:rsidP="00DC1441">
      <w:pPr>
        <w:spacing w:line="240" w:lineRule="auto"/>
      </w:pPr>
      <w:r>
        <w:separator/>
      </w:r>
    </w:p>
  </w:footnote>
  <w:footnote w:type="continuationSeparator" w:id="1">
    <w:p w:rsidR="00BB5F29" w:rsidRDefault="00BB5F2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8622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788</cp:revision>
  <cp:lastPrinted>2019-10-08T09:46:00Z</cp:lastPrinted>
  <dcterms:created xsi:type="dcterms:W3CDTF">2012-08-20T11:34:00Z</dcterms:created>
  <dcterms:modified xsi:type="dcterms:W3CDTF">2019-10-10T10:53:00Z</dcterms:modified>
</cp:coreProperties>
</file>