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9C7CCF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F77A09" w:rsidRPr="009C7CC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7CCF" w:rsidRPr="009C7CCF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9C7CCF" w:rsidRPr="009C7CCF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</w:t>
      </w:r>
      <w:proofErr w:type="gramEnd"/>
      <w:r w:rsidR="009C7CCF" w:rsidRPr="009C7CCF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7A09" w:rsidRPr="009C7CCF">
        <w:rPr>
          <w:rFonts w:ascii="Times New Roman" w:hAnsi="Times New Roman" w:cs="Times New Roman"/>
          <w:sz w:val="28"/>
          <w:szCs w:val="28"/>
        </w:rPr>
        <w:t>»</w:t>
      </w:r>
      <w:r w:rsidR="001B1199" w:rsidRPr="009C7CCF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6C191A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C191A">
        <w:rPr>
          <w:rFonts w:ascii="Times New Roman" w:hAnsi="Times New Roman" w:cs="Times New Roman"/>
          <w:sz w:val="28"/>
          <w:szCs w:val="28"/>
        </w:rPr>
        <w:t xml:space="preserve">отсутствие нормативно-правового акта, предусматривающего </w:t>
      </w:r>
      <w:r w:rsidR="006C191A" w:rsidRPr="009C7CCF">
        <w:rPr>
          <w:rFonts w:ascii="Times New Roman" w:eastAsia="SimSun" w:hAnsi="Times New Roman" w:cs="Times New Roman"/>
          <w:sz w:val="28"/>
          <w:szCs w:val="28"/>
        </w:rPr>
        <w:t>поряд</w:t>
      </w:r>
      <w:r w:rsidR="006C191A">
        <w:rPr>
          <w:rFonts w:ascii="Times New Roman" w:eastAsia="SimSun" w:hAnsi="Times New Roman" w:cs="Times New Roman"/>
          <w:sz w:val="28"/>
          <w:szCs w:val="28"/>
        </w:rPr>
        <w:t>о</w:t>
      </w:r>
      <w:r w:rsidR="006C191A" w:rsidRPr="009C7CCF">
        <w:rPr>
          <w:rFonts w:ascii="Times New Roman" w:eastAsia="SimSun" w:hAnsi="Times New Roman" w:cs="Times New Roman"/>
          <w:sz w:val="28"/>
          <w:szCs w:val="28"/>
        </w:rPr>
        <w:t xml:space="preserve">к и условия </w:t>
      </w:r>
      <w:r w:rsidR="006C191A" w:rsidRPr="009C7CCF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</w:t>
      </w:r>
      <w:proofErr w:type="gramEnd"/>
      <w:r w:rsidR="006C191A" w:rsidRPr="009C7CC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начало: "</w:t>
      </w:r>
      <w:r w:rsidR="00D442F2">
        <w:rPr>
          <w:rFonts w:ascii="Times New Roman" w:hAnsi="Times New Roman" w:cs="Times New Roman"/>
          <w:sz w:val="28"/>
          <w:szCs w:val="28"/>
        </w:rPr>
        <w:t>1</w:t>
      </w:r>
      <w:r w:rsidR="0016188A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6188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16188A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6C191A">
        <w:rPr>
          <w:rFonts w:ascii="Times New Roman" w:hAnsi="Times New Roman" w:cs="Times New Roman"/>
          <w:sz w:val="28"/>
          <w:szCs w:val="28"/>
        </w:rPr>
        <w:t>25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6C191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16188A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5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 xml:space="preserve">3.3. Периодичность </w:t>
            </w:r>
            <w:proofErr w:type="gramStart"/>
            <w:r w:rsidRPr="00E32136">
              <w:rPr>
                <w:rFonts w:ascii="Times New Roman" w:hAnsi="Times New Roman" w:cs="Times New Roman"/>
                <w:szCs w:val="28"/>
              </w:rPr>
              <w:t xml:space="preserve">мониторинга достижения целей предлагаемого правового </w:t>
            </w: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>регулирования</w:t>
            </w:r>
            <w:proofErr w:type="gramEnd"/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1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</w:t>
            </w:r>
            <w:r w:rsidR="004B685C">
              <w:rPr>
                <w:rFonts w:ascii="Times New Roman" w:eastAsia="SimSun" w:hAnsi="Times New Roman" w:cs="Times New Roman"/>
                <w:sz w:val="24"/>
                <w:szCs w:val="24"/>
              </w:rPr>
              <w:t>егулир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ование</w:t>
            </w:r>
            <w:r w:rsid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й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4B685C" w:rsidRPr="004B685C">
              <w:rPr>
                <w:rFonts w:ascii="Times New Roman" w:hAnsi="Times New Roman" w:cs="Times New Roman"/>
                <w:sz w:val="24"/>
                <w:szCs w:val="24"/>
              </w:rPr>
      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</w:t>
            </w:r>
            <w:proofErr w:type="gramEnd"/>
            <w:r w:rsidR="004B685C" w:rsidRPr="004B685C">
              <w:rPr>
                <w:rFonts w:ascii="Times New Roman" w:hAnsi="Times New Roman" w:cs="Times New Roman"/>
                <w:sz w:val="24"/>
                <w:szCs w:val="24"/>
              </w:rPr>
              <w:t>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06" w:rsidRPr="0036246F" w:rsidRDefault="0036246F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D442F2" w:rsidRPr="00610D41" w:rsidRDefault="000F6221" w:rsidP="00610D41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610D41">
        <w:rPr>
          <w:b w:val="0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1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Регулирование 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й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B68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</w:t>
            </w:r>
            <w:r w:rsidRPr="004B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</w:t>
            </w:r>
            <w:proofErr w:type="gramEnd"/>
            <w:r w:rsidRPr="004B685C">
              <w:rPr>
                <w:rFonts w:ascii="Times New Roman" w:hAnsi="Times New Roman" w:cs="Times New Roman"/>
                <w:sz w:val="24"/>
                <w:szCs w:val="24"/>
              </w:rPr>
              <w:t>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06" w:rsidRPr="00047A22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6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C3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</w:t>
            </w:r>
            <w:r w:rsidR="00610D41">
              <w:rPr>
                <w:rFonts w:ascii="Times New Roman" w:hAnsi="Times New Roman" w:cs="Times New Roman"/>
              </w:rPr>
              <w:t>9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</w:t>
            </w:r>
            <w:r w:rsidR="00C3060E">
              <w:rPr>
                <w:rFonts w:ascii="Times New Roman" w:hAnsi="Times New Roman" w:cs="Times New Roman"/>
              </w:rPr>
              <w:t>одические расходы за период 2019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610D41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C3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</w:t>
            </w:r>
            <w:r w:rsidR="00C3060E">
              <w:rPr>
                <w:rFonts w:ascii="Times New Roman" w:hAnsi="Times New Roman" w:cs="Times New Roman"/>
              </w:rPr>
              <w:t>9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6F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3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201</w:t>
            </w:r>
            <w:r w:rsidR="00C3060E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3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C3060E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3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C3060E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C3060E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C3060E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7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C3060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C3060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841B3A" w:rsidRDefault="00C3060E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 xml:space="preserve">8.5. Оценка возможности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>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lastRenderedPageBreak/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</w:t>
            </w:r>
            <w:r w:rsidR="00C3060E">
              <w:rPr>
                <w:rFonts w:ascii="Times New Roman" w:hAnsi="Times New Roman" w:cs="Times New Roman"/>
              </w:rPr>
              <w:t>3</w:t>
            </w:r>
            <w:r w:rsidRPr="00E81D51">
              <w:rPr>
                <w:rFonts w:ascii="Times New Roman" w:hAnsi="Times New Roman" w:cs="Times New Roman"/>
              </w:rPr>
              <w:t xml:space="preserve">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М.В. Максимов</w:t>
            </w:r>
          </w:p>
        </w:tc>
      </w:tr>
    </w:tbl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C306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6188A"/>
    <w:rsid w:val="00170677"/>
    <w:rsid w:val="001A3779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F723E"/>
    <w:rsid w:val="00480486"/>
    <w:rsid w:val="004B685C"/>
    <w:rsid w:val="004B7BA8"/>
    <w:rsid w:val="004E08B4"/>
    <w:rsid w:val="004F494E"/>
    <w:rsid w:val="00502E6D"/>
    <w:rsid w:val="00511F31"/>
    <w:rsid w:val="005123CE"/>
    <w:rsid w:val="00573078"/>
    <w:rsid w:val="00584756"/>
    <w:rsid w:val="005F1814"/>
    <w:rsid w:val="005F3074"/>
    <w:rsid w:val="00610D41"/>
    <w:rsid w:val="00674E61"/>
    <w:rsid w:val="006C191A"/>
    <w:rsid w:val="007632E3"/>
    <w:rsid w:val="00772C2D"/>
    <w:rsid w:val="00777640"/>
    <w:rsid w:val="007A6F30"/>
    <w:rsid w:val="007C6B43"/>
    <w:rsid w:val="007D606D"/>
    <w:rsid w:val="007D66AE"/>
    <w:rsid w:val="007E149F"/>
    <w:rsid w:val="00841B3A"/>
    <w:rsid w:val="00842D81"/>
    <w:rsid w:val="008613C6"/>
    <w:rsid w:val="008A4CE2"/>
    <w:rsid w:val="00917519"/>
    <w:rsid w:val="00935361"/>
    <w:rsid w:val="00947559"/>
    <w:rsid w:val="00955269"/>
    <w:rsid w:val="009C7CCF"/>
    <w:rsid w:val="009E44F4"/>
    <w:rsid w:val="009F705B"/>
    <w:rsid w:val="00A74B39"/>
    <w:rsid w:val="00A76C15"/>
    <w:rsid w:val="00B06C96"/>
    <w:rsid w:val="00B77272"/>
    <w:rsid w:val="00BB794B"/>
    <w:rsid w:val="00BC5588"/>
    <w:rsid w:val="00C3060E"/>
    <w:rsid w:val="00C4737A"/>
    <w:rsid w:val="00C507F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B4BFD"/>
    <w:rsid w:val="00ED6206"/>
    <w:rsid w:val="00F10F54"/>
    <w:rsid w:val="00F22896"/>
    <w:rsid w:val="00F746CC"/>
    <w:rsid w:val="00F77A09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5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466F-2DFA-4087-893E-7C883CF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17</cp:revision>
  <cp:lastPrinted>2019-03-25T11:43:00Z</cp:lastPrinted>
  <dcterms:created xsi:type="dcterms:W3CDTF">2017-03-27T13:49:00Z</dcterms:created>
  <dcterms:modified xsi:type="dcterms:W3CDTF">2019-03-25T11:47:00Z</dcterms:modified>
</cp:coreProperties>
</file>