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01" w:rsidRDefault="00493101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523417" w:rsidRPr="000A391C" w:rsidRDefault="009771D2" w:rsidP="0022579D">
      <w:pPr>
        <w:pStyle w:val="a5"/>
        <w:spacing w:after="0" w:line="276" w:lineRule="auto"/>
        <w:jc w:val="both"/>
        <w:rPr>
          <w:sz w:val="28"/>
          <w:szCs w:val="28"/>
        </w:rPr>
      </w:pPr>
      <w:r w:rsidRPr="0011014D">
        <w:rPr>
          <w:sz w:val="28"/>
          <w:szCs w:val="28"/>
        </w:rPr>
        <w:t xml:space="preserve">1.2. Вид, наименование проекта </w:t>
      </w:r>
      <w:r w:rsidR="00DA5E68">
        <w:rPr>
          <w:sz w:val="28"/>
          <w:szCs w:val="28"/>
        </w:rPr>
        <w:t xml:space="preserve">муниципального </w:t>
      </w:r>
      <w:r w:rsidRPr="0011014D">
        <w:rPr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0A391C">
        <w:rPr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="00ED0AA9" w:rsidRPr="000A391C">
        <w:rPr>
          <w:sz w:val="28"/>
          <w:szCs w:val="28"/>
        </w:rPr>
        <w:t>Кинель</w:t>
      </w:r>
      <w:proofErr w:type="spellEnd"/>
      <w:r w:rsidR="00ED0AA9" w:rsidRPr="000A391C">
        <w:rPr>
          <w:sz w:val="28"/>
          <w:szCs w:val="28"/>
        </w:rPr>
        <w:t xml:space="preserve"> </w:t>
      </w:r>
      <w:r w:rsidR="00523417" w:rsidRPr="000A391C">
        <w:rPr>
          <w:sz w:val="28"/>
          <w:szCs w:val="28"/>
        </w:rPr>
        <w:t>«</w:t>
      </w:r>
      <w:r w:rsidR="00523417" w:rsidRPr="000A391C">
        <w:rPr>
          <w:sz w:val="27"/>
          <w:szCs w:val="27"/>
        </w:rPr>
        <w:t xml:space="preserve">Об утверждении Порядка </w:t>
      </w:r>
      <w:r w:rsidR="000A391C" w:rsidRPr="000A391C">
        <w:rPr>
          <w:sz w:val="28"/>
          <w:szCs w:val="28"/>
        </w:rPr>
        <w:t xml:space="preserve">предоставления в 2020 году субсидии за счет средств бюджета городского округа </w:t>
      </w:r>
      <w:proofErr w:type="spellStart"/>
      <w:r w:rsidR="000A391C" w:rsidRPr="000A391C">
        <w:rPr>
          <w:sz w:val="28"/>
          <w:szCs w:val="28"/>
        </w:rPr>
        <w:t>Кинель</w:t>
      </w:r>
      <w:proofErr w:type="spellEnd"/>
      <w:r w:rsidR="000A391C" w:rsidRPr="000A391C">
        <w:rPr>
          <w:sz w:val="28"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0A391C" w:rsidRPr="000A391C">
        <w:rPr>
          <w:sz w:val="28"/>
          <w:szCs w:val="28"/>
        </w:rPr>
        <w:t>Кинель</w:t>
      </w:r>
      <w:proofErr w:type="spellEnd"/>
      <w:r w:rsidR="000A391C" w:rsidRPr="000A391C">
        <w:rPr>
          <w:sz w:val="28"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 мероприятий</w:t>
      </w:r>
      <w:proofErr w:type="gramEnd"/>
      <w:r w:rsidR="000A391C" w:rsidRPr="000A391C">
        <w:rPr>
          <w:sz w:val="28"/>
          <w:szCs w:val="28"/>
        </w:rPr>
        <w:t xml:space="preserve">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0A391C" w:rsidRPr="000A391C">
        <w:rPr>
          <w:sz w:val="28"/>
          <w:szCs w:val="28"/>
        </w:rPr>
        <w:t>коронавирусной</w:t>
      </w:r>
      <w:proofErr w:type="spellEnd"/>
      <w:r w:rsidR="000A391C" w:rsidRPr="000A391C">
        <w:rPr>
          <w:sz w:val="28"/>
          <w:szCs w:val="28"/>
        </w:rPr>
        <w:t xml:space="preserve"> инфекции (COVID-19)</w:t>
      </w:r>
      <w:r w:rsidR="000A391C">
        <w:rPr>
          <w:sz w:val="28"/>
          <w:szCs w:val="28"/>
        </w:rPr>
        <w:t>»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1.3. Предполагаемая дата вступления в силу проекта нормативного акта в случае его принятия</w:t>
      </w:r>
      <w:r w:rsidR="00ED0AA9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FA1195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E56245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1.4. Степень регулирующего воздействия проекта нормативного акта</w:t>
      </w:r>
      <w:r w:rsidR="009A2667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15E7">
        <w:rPr>
          <w:rFonts w:ascii="Times New Roman" w:hAnsi="Times New Roman" w:cs="Times New Roman"/>
          <w:sz w:val="28"/>
          <w:szCs w:val="28"/>
        </w:rPr>
        <w:t xml:space="preserve"> высокая</w:t>
      </w:r>
    </w:p>
    <w:p w:rsidR="009E4CAF" w:rsidRPr="0011014D" w:rsidRDefault="009A2667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95">
        <w:rPr>
          <w:rFonts w:ascii="Times New Roman" w:hAnsi="Times New Roman" w:cs="Times New Roman"/>
          <w:sz w:val="28"/>
          <w:szCs w:val="28"/>
        </w:rPr>
        <w:t>.</w:t>
      </w:r>
    </w:p>
    <w:p w:rsidR="009E4CAF" w:rsidRPr="00FA1195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1.5. Описание цели предлагаемого правового регулирования и краткое</w:t>
      </w:r>
      <w:r w:rsidR="00F0179C" w:rsidRPr="00FA11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195">
        <w:rPr>
          <w:rFonts w:ascii="Times New Roman" w:hAnsi="Times New Roman" w:cs="Times New Roman"/>
          <w:sz w:val="28"/>
          <w:szCs w:val="28"/>
          <w:u w:val="single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FA1195">
        <w:rPr>
          <w:rFonts w:ascii="Times New Roman" w:hAnsi="Times New Roman" w:cs="Times New Roman"/>
          <w:sz w:val="28"/>
          <w:szCs w:val="28"/>
          <w:u w:val="single"/>
        </w:rPr>
        <w:t>личием рассматриваемой проблемы:</w:t>
      </w:r>
    </w:p>
    <w:p w:rsidR="00523417" w:rsidRDefault="00A0024D" w:rsidP="0022579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A0024D">
        <w:rPr>
          <w:szCs w:val="28"/>
          <w:u w:val="single"/>
        </w:rPr>
        <w:t xml:space="preserve">Проект муниципального нормативного правового акта разработан в целях </w:t>
      </w:r>
      <w:r w:rsidR="00523417" w:rsidRPr="00FF23F7">
        <w:rPr>
          <w:szCs w:val="28"/>
        </w:rPr>
        <w:t>реализации положений Постановления Правительства Самарской области от 20.05.2020 № 339</w:t>
      </w:r>
      <w:r w:rsidR="00523417">
        <w:rPr>
          <w:szCs w:val="28"/>
        </w:rPr>
        <w:t xml:space="preserve"> «О внесении изменений в постановление Правительства Самарской области от 27.11.2013 №677 «Об утверждении государственной программы Самарской области «Развитие транспортной системы Самарской области (2014-2025 годы)», </w:t>
      </w:r>
      <w:r w:rsidR="00523417" w:rsidRPr="00FF23F7">
        <w:rPr>
          <w:szCs w:val="28"/>
        </w:rPr>
        <w:t>которым утвержден порядок, предусматривающий предоставление субсидий из областного бюджета бюджетам муниципальны</w:t>
      </w:r>
      <w:r w:rsidR="00523417">
        <w:rPr>
          <w:szCs w:val="28"/>
        </w:rPr>
        <w:t xml:space="preserve">х образований Самарской области.                                                       </w:t>
      </w:r>
      <w:proofErr w:type="gramEnd"/>
    </w:p>
    <w:p w:rsidR="00523417" w:rsidRPr="0019794E" w:rsidRDefault="00523417" w:rsidP="0022579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19794E">
        <w:rPr>
          <w:szCs w:val="28"/>
        </w:rPr>
        <w:t xml:space="preserve">связи с распространением новой </w:t>
      </w:r>
      <w:proofErr w:type="spellStart"/>
      <w:r w:rsidRPr="0019794E">
        <w:rPr>
          <w:szCs w:val="28"/>
        </w:rPr>
        <w:t>коронавирусной</w:t>
      </w:r>
      <w:proofErr w:type="spellEnd"/>
      <w:r w:rsidRPr="0019794E">
        <w:rPr>
          <w:szCs w:val="28"/>
        </w:rPr>
        <w:t xml:space="preserve"> инфекции и введением ряда ограничительных мер пассажиропоток в т</w:t>
      </w:r>
      <w:r>
        <w:rPr>
          <w:szCs w:val="28"/>
        </w:rPr>
        <w:t>ранспортных предприятиях в период с марта по май месяцы существенно сократился.</w:t>
      </w:r>
    </w:p>
    <w:p w:rsidR="00523417" w:rsidRDefault="00523417" w:rsidP="0022579D">
      <w:pPr>
        <w:spacing w:line="276" w:lineRule="auto"/>
        <w:ind w:firstLine="709"/>
        <w:jc w:val="both"/>
        <w:rPr>
          <w:szCs w:val="28"/>
        </w:rPr>
      </w:pPr>
      <w:proofErr w:type="gramStart"/>
      <w:r w:rsidRPr="0019794E">
        <w:rPr>
          <w:szCs w:val="28"/>
        </w:rPr>
        <w:lastRenderedPageBreak/>
        <w:t xml:space="preserve">В целях оказания финансовой поддержки транспортным предприятиям для компенсации потерь планируется выделение средств </w:t>
      </w:r>
      <w:r>
        <w:rPr>
          <w:szCs w:val="28"/>
        </w:rPr>
        <w:t xml:space="preserve">из бюджета Самарской области </w:t>
      </w:r>
      <w:r w:rsidRPr="0019794E">
        <w:rPr>
          <w:szCs w:val="28"/>
        </w:rPr>
        <w:t>бюджет</w:t>
      </w:r>
      <w:r>
        <w:rPr>
          <w:szCs w:val="28"/>
        </w:rPr>
        <w:t xml:space="preserve">у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Pr="0016071D">
        <w:rPr>
          <w:szCs w:val="28"/>
        </w:rPr>
        <w:t>Самарской области</w:t>
      </w:r>
      <w:r w:rsidRPr="0019794E">
        <w:rPr>
          <w:szCs w:val="28"/>
        </w:rPr>
        <w:t xml:space="preserve"> за счет уменьшения объема выплачиваемых </w:t>
      </w:r>
      <w:r>
        <w:rPr>
          <w:szCs w:val="28"/>
        </w:rPr>
        <w:t xml:space="preserve">из областного бюджета </w:t>
      </w:r>
      <w:r w:rsidRPr="0019794E">
        <w:rPr>
          <w:szCs w:val="28"/>
        </w:rPr>
        <w:t xml:space="preserve">субсидий (т.к. по действующим нормативным документам размер субсидии зависит от количества перевезенных пассажиров, при падении пассажиропотока уменьшаются и выплачиваемые субсидии из бюджета). </w:t>
      </w:r>
      <w:proofErr w:type="gramEnd"/>
    </w:p>
    <w:p w:rsidR="00523417" w:rsidRDefault="00523417" w:rsidP="0022579D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Постановлением Правительства Самарской области от 20.05.2020 № 339 утвержден порядок предоставления и распределения субсидий в 2020 году субсидий из областного бюджета местным бюджетам в целях </w:t>
      </w:r>
      <w:proofErr w:type="spellStart"/>
      <w:r>
        <w:rPr>
          <w:szCs w:val="28"/>
        </w:rPr>
        <w:t>софинасирования</w:t>
      </w:r>
      <w:proofErr w:type="spellEnd"/>
      <w:r>
        <w:rPr>
          <w:szCs w:val="28"/>
        </w:rPr>
        <w:t xml:space="preserve"> расходных обязательств городских округов и муниципальных районов Самарской области, направленных на реализацию полномочий органов местного самоуправления муниципальных образований Самарской области по созданию условий для предоставления транспортных услуг населению и организации транспортного обслуживания населения в границах</w:t>
      </w:r>
      <w:proofErr w:type="gramEnd"/>
      <w:r>
        <w:rPr>
          <w:szCs w:val="28"/>
        </w:rPr>
        <w:t xml:space="preserve"> городских округов и муниципальных районов Самарской области.</w:t>
      </w:r>
    </w:p>
    <w:p w:rsidR="00523417" w:rsidRDefault="00523417" w:rsidP="0022579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Указанный порядок предусматривает предоставление субсидий из областного бюджета бюджетам муниципальных образований Самарской области. </w:t>
      </w:r>
    </w:p>
    <w:p w:rsidR="00523417" w:rsidRPr="0019794E" w:rsidRDefault="00523417" w:rsidP="0022579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перечисления указанных денежных средств из городского бюджета предприятиям-перевозчикам </w:t>
      </w:r>
      <w:r w:rsidRPr="0019794E">
        <w:rPr>
          <w:szCs w:val="28"/>
        </w:rPr>
        <w:t xml:space="preserve">необходима разработка нового порядка предоставления субсидий из </w:t>
      </w:r>
      <w:r>
        <w:rPr>
          <w:szCs w:val="28"/>
        </w:rPr>
        <w:t xml:space="preserve">бюджета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19794E">
        <w:rPr>
          <w:szCs w:val="28"/>
        </w:rPr>
        <w:t>.</w:t>
      </w:r>
    </w:p>
    <w:p w:rsidR="009771D2" w:rsidRPr="0022579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9D">
        <w:rPr>
          <w:rFonts w:ascii="Times New Roman" w:hAnsi="Times New Roman" w:cs="Times New Roman"/>
          <w:sz w:val="28"/>
          <w:szCs w:val="28"/>
          <w:u w:val="single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0A3F1A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BF51A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BF51A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A002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F51A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BF51AD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BF51A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BF51AD" w:rsidRPr="0022579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9D">
        <w:rPr>
          <w:rFonts w:ascii="Times New Roman" w:hAnsi="Times New Roman" w:cs="Times New Roman"/>
          <w:sz w:val="28"/>
          <w:szCs w:val="28"/>
          <w:u w:val="single"/>
        </w:rPr>
        <w:t>1.7. Количество замечаний и предложений, полученных от</w:t>
      </w:r>
      <w:r w:rsidR="00F0179C" w:rsidRPr="002257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79D">
        <w:rPr>
          <w:rFonts w:ascii="Times New Roman" w:hAnsi="Times New Roman" w:cs="Times New Roman"/>
          <w:sz w:val="28"/>
          <w:szCs w:val="28"/>
          <w:u w:val="single"/>
        </w:rPr>
        <w:t xml:space="preserve">заинтересованных лиц при проведении публичных консультаций: </w:t>
      </w:r>
      <w:r w:rsidR="00BF51AD" w:rsidRPr="0022579D">
        <w:rPr>
          <w:rFonts w:ascii="Times New Roman" w:hAnsi="Times New Roman" w:cs="Times New Roman"/>
          <w:sz w:val="28"/>
          <w:szCs w:val="28"/>
          <w:u w:val="single"/>
        </w:rPr>
        <w:t>предложения и замечания не поступали.</w:t>
      </w:r>
      <w:r w:rsidRPr="002257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70B4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7D0B92" w:rsidRDefault="00FF3A4E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уменьшением количества пассажиров, пользующихся услугами городского транспорта, осуществляющего перевозки по регулируемым тарифам </w:t>
      </w:r>
      <w:r w:rsidR="007D0B92">
        <w:rPr>
          <w:rFonts w:ascii="Times New Roman" w:hAnsi="Times New Roman" w:cs="Times New Roman"/>
          <w:sz w:val="28"/>
          <w:szCs w:val="28"/>
        </w:rPr>
        <w:t>по муниципальным маршрутам, транспортные предприятия несут большие финансовые потери. По действующим нормативным документам размер субсидии зависит от количества перевезенных пассажиров, при падении пассажиропотока уменьшаются и выплачиваемые субсидии из бюджета.</w:t>
      </w:r>
    </w:p>
    <w:p w:rsidR="007D0B92" w:rsidRPr="0019794E" w:rsidRDefault="007D0B92" w:rsidP="0022579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F3A4E">
        <w:rPr>
          <w:szCs w:val="28"/>
        </w:rPr>
        <w:t xml:space="preserve">  </w:t>
      </w:r>
      <w:r w:rsidRPr="0019794E">
        <w:rPr>
          <w:szCs w:val="28"/>
        </w:rPr>
        <w:t xml:space="preserve">В целях оказания финансовой поддержки транспортным предприятиям для компенсации потерь планируется выделение средств </w:t>
      </w:r>
      <w:r>
        <w:rPr>
          <w:szCs w:val="28"/>
        </w:rPr>
        <w:t xml:space="preserve">из бюджета Самарской области </w:t>
      </w:r>
      <w:r w:rsidRPr="0019794E">
        <w:rPr>
          <w:szCs w:val="28"/>
        </w:rPr>
        <w:t>бюджет</w:t>
      </w:r>
      <w:r>
        <w:rPr>
          <w:szCs w:val="28"/>
        </w:rPr>
        <w:t xml:space="preserve">у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Pr="0016071D">
        <w:rPr>
          <w:szCs w:val="28"/>
        </w:rPr>
        <w:t>Самарской области</w:t>
      </w:r>
      <w:r w:rsidRPr="0019794E">
        <w:rPr>
          <w:szCs w:val="28"/>
        </w:rPr>
        <w:t xml:space="preserve"> за счет уменьшения объема выплачиваемых </w:t>
      </w:r>
      <w:r>
        <w:rPr>
          <w:szCs w:val="28"/>
        </w:rPr>
        <w:t xml:space="preserve">из областного бюджета </w:t>
      </w:r>
      <w:r w:rsidRPr="0019794E">
        <w:rPr>
          <w:szCs w:val="28"/>
        </w:rPr>
        <w:t>субсидий</w:t>
      </w:r>
      <w:r>
        <w:rPr>
          <w:szCs w:val="28"/>
        </w:rPr>
        <w:t xml:space="preserve">. Для выплаты данной субсидии из городского бюджета предприятиям-перевозчикам </w:t>
      </w:r>
      <w:r w:rsidRPr="0019794E">
        <w:rPr>
          <w:szCs w:val="28"/>
        </w:rPr>
        <w:t xml:space="preserve">необходима разработка нового </w:t>
      </w:r>
      <w:r w:rsidRPr="0019794E">
        <w:rPr>
          <w:szCs w:val="28"/>
        </w:rPr>
        <w:lastRenderedPageBreak/>
        <w:t xml:space="preserve">порядка предоставления субсидий из </w:t>
      </w:r>
      <w:r>
        <w:rPr>
          <w:szCs w:val="28"/>
        </w:rPr>
        <w:t xml:space="preserve">бюджета городского округа </w:t>
      </w:r>
      <w:proofErr w:type="spellStart"/>
      <w:r>
        <w:rPr>
          <w:szCs w:val="28"/>
        </w:rPr>
        <w:t>Кинель</w:t>
      </w:r>
      <w:proofErr w:type="spellEnd"/>
      <w:r w:rsidRPr="0019794E">
        <w:rPr>
          <w:szCs w:val="28"/>
        </w:rPr>
        <w:t>.</w:t>
      </w:r>
      <w:r>
        <w:rPr>
          <w:szCs w:val="28"/>
        </w:rPr>
        <w:t xml:space="preserve"> Управлением экономического развития, инвестиций и потребительского рынка подготовлен проект постановления.</w:t>
      </w:r>
    </w:p>
    <w:p w:rsidR="00B270B4" w:rsidRPr="00FA1195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70B4" w:rsidRDefault="00B270B4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учреждений), индивидуальные предприниматели, </w:t>
      </w:r>
      <w:r w:rsidR="009569B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</w:t>
      </w:r>
      <w:r w:rsidR="00D13E3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и удовлетворяющие требованиями проекта нормативного акта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</w:p>
    <w:p w:rsidR="00FD5AA1" w:rsidRDefault="00FD5AA1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FD5AA1" w:rsidRPr="0011014D" w:rsidRDefault="00FD5AA1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муниципального финансового контроля</w:t>
      </w:r>
      <w:r w:rsidR="00343C75">
        <w:rPr>
          <w:rFonts w:ascii="Times New Roman" w:hAnsi="Times New Roman" w:cs="Times New Roman"/>
          <w:sz w:val="28"/>
          <w:szCs w:val="28"/>
        </w:rPr>
        <w:t>.</w:t>
      </w:r>
    </w:p>
    <w:p w:rsidR="001B77A7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2.2. Характеристика негативных эффектов, возникающих в связи с</w:t>
      </w:r>
      <w:r w:rsidR="000E0B04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наличием про</w:t>
      </w:r>
      <w:r w:rsidR="00343C75" w:rsidRPr="009229D0">
        <w:rPr>
          <w:rFonts w:ascii="Times New Roman" w:hAnsi="Times New Roman" w:cs="Times New Roman"/>
          <w:sz w:val="28"/>
          <w:szCs w:val="28"/>
          <w:u w:val="single"/>
        </w:rPr>
        <w:t>блемы:</w:t>
      </w:r>
      <w:r w:rsidR="00343C75">
        <w:rPr>
          <w:rFonts w:ascii="Times New Roman" w:hAnsi="Times New Roman" w:cs="Times New Roman"/>
          <w:sz w:val="28"/>
          <w:szCs w:val="28"/>
        </w:rPr>
        <w:t xml:space="preserve"> невозможность оказания финансовой поддержки транспортным предприятиям посредством предоставления субсидий из бюджета Самарской области бюджету городского округа </w:t>
      </w:r>
      <w:proofErr w:type="spellStart"/>
      <w:r w:rsidR="00343C7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43C7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0024D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2.3. Новые функции, полномочия, обязанности и права органов</w:t>
      </w:r>
      <w:r w:rsidR="000E7EFC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публичной власти или сведения об их изменении проектом нормативного акта, а также порядок их реализации (осуществления)</w:t>
      </w:r>
      <w:r w:rsidR="00A0024D" w:rsidRPr="009229D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2040" w:rsidRDefault="008E2040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области:</w:t>
      </w:r>
    </w:p>
    <w:p w:rsidR="008E2040" w:rsidRPr="008E2040" w:rsidRDefault="008E2040" w:rsidP="0022579D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4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A4567">
        <w:rPr>
          <w:rFonts w:ascii="Times New Roman" w:hAnsi="Times New Roman" w:cs="Times New Roman"/>
          <w:sz w:val="28"/>
          <w:szCs w:val="28"/>
        </w:rPr>
        <w:t>прием и рассмотрение документов.</w:t>
      </w:r>
    </w:p>
    <w:p w:rsidR="008E2040" w:rsidRDefault="000A3F1A" w:rsidP="0022579D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</w:t>
      </w:r>
      <w:r w:rsidR="00915741" w:rsidRPr="0091574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15741">
        <w:rPr>
          <w:rFonts w:ascii="Times New Roman" w:hAnsi="Times New Roman" w:cs="Times New Roman"/>
          <w:sz w:val="28"/>
          <w:szCs w:val="28"/>
        </w:rPr>
        <w:t>со дня приема документов принимает решение о заключении соглашения (договора) о представлении субсидии с получателем либо об отказе в заключени</w:t>
      </w:r>
      <w:proofErr w:type="gramStart"/>
      <w:r w:rsidR="009157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5741">
        <w:rPr>
          <w:rFonts w:ascii="Times New Roman" w:hAnsi="Times New Roman" w:cs="Times New Roman"/>
          <w:sz w:val="28"/>
          <w:szCs w:val="28"/>
        </w:rPr>
        <w:t xml:space="preserve"> соглашения о представлении субсидии.</w:t>
      </w:r>
    </w:p>
    <w:p w:rsidR="00915741" w:rsidRDefault="00915741" w:rsidP="0022579D">
      <w:pPr>
        <w:pStyle w:val="ConsPlusNonformat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(договора) руководствуется п. 9 Порядка, утверждаемого проектом нормативного акта, а именно:</w:t>
      </w:r>
    </w:p>
    <w:p w:rsidR="00915741" w:rsidRPr="00363953" w:rsidRDefault="00915741" w:rsidP="0022579D">
      <w:pPr>
        <w:pStyle w:val="a6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53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перечисленных в </w:t>
      </w:r>
      <w:hyperlink w:anchor="P93" w:history="1">
        <w:r w:rsidRPr="0036395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36395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15741" w:rsidRDefault="00915741" w:rsidP="0022579D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- </w:t>
      </w:r>
      <w:r w:rsidRPr="00915741">
        <w:rPr>
          <w:szCs w:val="28"/>
        </w:rPr>
        <w:t xml:space="preserve">несоответствие получателя субсидии критериям отбора, указанным в </w:t>
      </w:r>
      <w:r w:rsidR="00017F93">
        <w:fldChar w:fldCharType="begin"/>
      </w:r>
      <w:r>
        <w:instrText>HYPERLINK "consultantplus://offline/ref=571AE3BA617E64E00E8194C9283AE3209089007CB9056F3C0BDFBD7FAED504A5A7F31E9C6892E03108F97B9D6F827309B7A05110E594CD33E9625E84F7h0I"</w:instrText>
      </w:r>
      <w:r w:rsidR="00017F93">
        <w:fldChar w:fldCharType="separate"/>
      </w:r>
      <w:r w:rsidRPr="00915741">
        <w:rPr>
          <w:szCs w:val="28"/>
        </w:rPr>
        <w:t xml:space="preserve">пункте </w:t>
      </w:r>
      <w:r>
        <w:rPr>
          <w:szCs w:val="28"/>
        </w:rPr>
        <w:t xml:space="preserve">          </w:t>
      </w:r>
    </w:p>
    <w:p w:rsidR="00915741" w:rsidRPr="00915741" w:rsidRDefault="00915741" w:rsidP="0022579D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915741">
        <w:rPr>
          <w:szCs w:val="28"/>
        </w:rPr>
        <w:t>3</w:t>
      </w:r>
      <w:r w:rsidR="00017F93">
        <w:fldChar w:fldCharType="end"/>
      </w:r>
      <w:r w:rsidRPr="00915741">
        <w:rPr>
          <w:szCs w:val="28"/>
        </w:rPr>
        <w:t xml:space="preserve"> Порядка;</w:t>
      </w:r>
    </w:p>
    <w:p w:rsidR="00915741" w:rsidRPr="00915741" w:rsidRDefault="00915741" w:rsidP="0022579D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- </w:t>
      </w:r>
      <w:r w:rsidRPr="00915741">
        <w:rPr>
          <w:szCs w:val="28"/>
        </w:rPr>
        <w:t xml:space="preserve">несоблюдение условий предоставления субсидий, указанных </w:t>
      </w:r>
      <w:r w:rsidRPr="00915741">
        <w:rPr>
          <w:szCs w:val="28"/>
        </w:rPr>
        <w:br/>
      </w:r>
      <w:r>
        <w:rPr>
          <w:szCs w:val="28"/>
        </w:rPr>
        <w:t xml:space="preserve">         </w:t>
      </w:r>
      <w:r w:rsidRPr="00915741">
        <w:rPr>
          <w:szCs w:val="28"/>
        </w:rPr>
        <w:t xml:space="preserve">в </w:t>
      </w:r>
      <w:hyperlink w:anchor="P91" w:history="1">
        <w:r w:rsidRPr="00915741">
          <w:rPr>
            <w:szCs w:val="28"/>
          </w:rPr>
          <w:t>пунктах 4</w:t>
        </w:r>
      </w:hyperlink>
      <w:r>
        <w:rPr>
          <w:szCs w:val="28"/>
        </w:rPr>
        <w:t>.3-4.7</w:t>
      </w:r>
      <w:r w:rsidRPr="00915741">
        <w:rPr>
          <w:szCs w:val="28"/>
        </w:rPr>
        <w:t xml:space="preserve"> Порядка;</w:t>
      </w:r>
    </w:p>
    <w:p w:rsidR="00915741" w:rsidRPr="00363953" w:rsidRDefault="00915741" w:rsidP="0022579D">
      <w:pPr>
        <w:pStyle w:val="a6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53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субсидий требованиям, установленным </w:t>
      </w:r>
      <w:hyperlink w:anchor="P93" w:history="1">
        <w:r w:rsidRPr="00363953">
          <w:rPr>
            <w:rFonts w:ascii="Times New Roman" w:hAnsi="Times New Roman" w:cs="Times New Roman"/>
            <w:sz w:val="28"/>
            <w:szCs w:val="28"/>
          </w:rPr>
          <w:t xml:space="preserve">пунктами 4.8.1, 4.8.2 </w:t>
        </w:r>
      </w:hyperlink>
      <w:r w:rsidRPr="0036395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15741" w:rsidRPr="00915741" w:rsidRDefault="00915741" w:rsidP="0022579D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- </w:t>
      </w:r>
      <w:r w:rsidRPr="00915741">
        <w:rPr>
          <w:szCs w:val="28"/>
        </w:rPr>
        <w:t>неправильность расчета размера субсидий;</w:t>
      </w:r>
    </w:p>
    <w:p w:rsidR="00915741" w:rsidRPr="00915741" w:rsidRDefault="00915741" w:rsidP="0022579D">
      <w:pPr>
        <w:tabs>
          <w:tab w:val="left" w:pos="12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- </w:t>
      </w:r>
      <w:r w:rsidRPr="00915741">
        <w:rPr>
          <w:szCs w:val="28"/>
        </w:rPr>
        <w:t>недостоверность представленной получателем субсидий информации;</w:t>
      </w:r>
    </w:p>
    <w:p w:rsidR="00915741" w:rsidRPr="00363953" w:rsidRDefault="00915741" w:rsidP="0022579D">
      <w:pPr>
        <w:pStyle w:val="a6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953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 xml:space="preserve">ение срока предоставления </w:t>
      </w:r>
      <w:r w:rsidRPr="0036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распорядителю, как получателю бюджетных средств </w:t>
      </w:r>
      <w:r w:rsidRPr="00363953">
        <w:rPr>
          <w:rFonts w:ascii="Times New Roman" w:hAnsi="Times New Roman" w:cs="Times New Roman"/>
          <w:sz w:val="28"/>
          <w:szCs w:val="28"/>
        </w:rPr>
        <w:t xml:space="preserve">заявления о заключении </w:t>
      </w:r>
      <w:r>
        <w:rPr>
          <w:rFonts w:ascii="Times New Roman" w:hAnsi="Times New Roman" w:cs="Times New Roman"/>
          <w:sz w:val="28"/>
          <w:szCs w:val="28"/>
        </w:rPr>
        <w:t>соглашения (</w:t>
      </w:r>
      <w:r w:rsidRPr="00363953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3953">
        <w:rPr>
          <w:rFonts w:ascii="Times New Roman" w:hAnsi="Times New Roman" w:cs="Times New Roman"/>
          <w:sz w:val="28"/>
          <w:szCs w:val="28"/>
        </w:rPr>
        <w:t xml:space="preserve"> о </w:t>
      </w:r>
      <w:r w:rsidRPr="0036395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субсидий с приложением документов, установленного </w:t>
      </w:r>
      <w:hyperlink w:anchor="P93" w:history="1">
        <w:r w:rsidRPr="003639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63953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9F5FD6" w:rsidRDefault="009F5FD6" w:rsidP="002257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Направляет транспортной организации соглашение (договор)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F5FD6" w:rsidRDefault="009F5FD6" w:rsidP="002257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подписания</w:t>
      </w:r>
      <w:r w:rsidR="001A4567">
        <w:rPr>
          <w:rFonts w:ascii="Times New Roman" w:hAnsi="Times New Roman" w:cs="Times New Roman"/>
          <w:sz w:val="28"/>
          <w:szCs w:val="28"/>
        </w:rPr>
        <w:t>.</w:t>
      </w:r>
    </w:p>
    <w:p w:rsidR="001A4567" w:rsidRDefault="009F5FD6" w:rsidP="0022579D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субсидию в соответствии с заключенным соглашением (договором)</w:t>
      </w:r>
      <w:r w:rsidR="001A4567">
        <w:rPr>
          <w:rFonts w:ascii="Times New Roman" w:hAnsi="Times New Roman" w:cs="Times New Roman"/>
          <w:sz w:val="28"/>
          <w:szCs w:val="28"/>
        </w:rPr>
        <w:t>.</w:t>
      </w:r>
    </w:p>
    <w:p w:rsidR="001A4567" w:rsidRDefault="001A4567" w:rsidP="0022579D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своих полномочий осуществляет обязательную проверку соблюдения условий, целей и порядка предоставления субсидий.</w:t>
      </w:r>
    </w:p>
    <w:p w:rsidR="001A4567" w:rsidRDefault="001A4567" w:rsidP="0022579D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 возврата субсидии в бюджет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случае установления факта нарушения условий предоставления, а также факта нецелевого использования субсидий.</w:t>
      </w:r>
    </w:p>
    <w:p w:rsidR="00915741" w:rsidRDefault="001A4567" w:rsidP="0022579D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567">
        <w:rPr>
          <w:rFonts w:ascii="Times New Roman" w:hAnsi="Times New Roman" w:cs="Times New Roman"/>
          <w:sz w:val="28"/>
          <w:szCs w:val="28"/>
          <w:u w:val="single"/>
        </w:rPr>
        <w:t xml:space="preserve">Органы. </w:t>
      </w:r>
      <w:r w:rsidR="009F5FD6" w:rsidRPr="001A456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E51E2" w:rsidRPr="005E51E2" w:rsidRDefault="005E51E2" w:rsidP="0022579D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1E2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 в рамках своих полномочий осуществляют обязательную проверку соблюдения условий, целей и порядка предоставления субсидий</w:t>
      </w:r>
    </w:p>
    <w:p w:rsidR="00582DAF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2.4. Новые запреты, обязанности или ограничения для субъектов</w:t>
      </w:r>
      <w:r w:rsidR="00A83EC5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9229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159A" w:rsidRDefault="001E159A" w:rsidP="0022579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Предоставление</w:t>
      </w:r>
      <w:r w:rsidRPr="001E159A">
        <w:rPr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Pr="001E159A">
        <w:rPr>
          <w:szCs w:val="28"/>
        </w:rPr>
        <w:t>Кинель</w:t>
      </w:r>
      <w:proofErr w:type="spellEnd"/>
      <w:r w:rsidRPr="001E159A">
        <w:rPr>
          <w:szCs w:val="28"/>
        </w:rPr>
        <w:t>, в целях</w:t>
      </w:r>
      <w:r>
        <w:rPr>
          <w:szCs w:val="28"/>
        </w:rPr>
        <w:t xml:space="preserve"> реализации мероприятий по оказанию содействия</w:t>
      </w:r>
      <w:r w:rsidRPr="001E159A">
        <w:rPr>
          <w:szCs w:val="28"/>
        </w:rPr>
        <w:t xml:space="preserve"> </w:t>
      </w:r>
      <w:r w:rsidR="007B12CD">
        <w:rPr>
          <w:szCs w:val="28"/>
        </w:rPr>
        <w:t xml:space="preserve">транспортным организациям, осуществляющим деятельность </w:t>
      </w:r>
      <w:r w:rsidRPr="001E159A">
        <w:rPr>
          <w:szCs w:val="28"/>
        </w:rPr>
        <w:t xml:space="preserve">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Pr="001E159A">
        <w:rPr>
          <w:szCs w:val="28"/>
        </w:rPr>
        <w:t>коронавирусной</w:t>
      </w:r>
      <w:proofErr w:type="spellEnd"/>
      <w:r w:rsidRPr="001E159A">
        <w:rPr>
          <w:szCs w:val="28"/>
        </w:rPr>
        <w:t xml:space="preserve"> инфекции (COVID-19)</w:t>
      </w:r>
      <w:r w:rsidR="007B12CD">
        <w:rPr>
          <w:szCs w:val="28"/>
        </w:rPr>
        <w:t xml:space="preserve"> осуществляется в соответствии</w:t>
      </w:r>
      <w:proofErr w:type="gramEnd"/>
      <w:r w:rsidR="007B12CD">
        <w:rPr>
          <w:szCs w:val="28"/>
        </w:rPr>
        <w:t xml:space="preserve"> с проектом нормативного акта и заключаемым в соответствии с Бюджетным кодексом Российской Федераци</w:t>
      </w:r>
      <w:r w:rsidR="00903EA4">
        <w:rPr>
          <w:szCs w:val="28"/>
        </w:rPr>
        <w:t>и соглашением (договором).</w:t>
      </w:r>
    </w:p>
    <w:p w:rsidR="00903EA4" w:rsidRDefault="00903EA4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Устанавливаемый механизм предоставления субсидий предоставляет право транспортной организации, осуществляющей </w:t>
      </w:r>
      <w:r w:rsidR="003A5C0A">
        <w:rPr>
          <w:szCs w:val="28"/>
        </w:rPr>
        <w:t xml:space="preserve">пассажирские перевозки по </w:t>
      </w:r>
      <w:r>
        <w:rPr>
          <w:szCs w:val="28"/>
        </w:rPr>
        <w:t>м</w:t>
      </w:r>
      <w:r w:rsidR="003A5C0A">
        <w:rPr>
          <w:szCs w:val="28"/>
        </w:rPr>
        <w:t xml:space="preserve">униципальным маршрутам регулярных перевозок по регулируемым тарифам подать заявку на получение недополученных доходов </w:t>
      </w:r>
      <w:r w:rsidR="003A5C0A" w:rsidRPr="003844FE">
        <w:rPr>
          <w:rFonts w:eastAsia="Calibri"/>
          <w:szCs w:val="28"/>
        </w:rPr>
        <w:t xml:space="preserve">в связи со снижением пассажиропотока в связи </w:t>
      </w:r>
      <w:r w:rsidR="003A5C0A">
        <w:rPr>
          <w:rFonts w:eastAsia="Calibri"/>
          <w:szCs w:val="28"/>
        </w:rPr>
        <w:t>с выполнением работ по перевозкам пассажиров по социальным картам жителя Самарской области и на компенсацию понесенных транспортной организацией расходов на приобретение горюче-смазочных материалов для автомобильного транспорта.</w:t>
      </w:r>
      <w:proofErr w:type="gramEnd"/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  <w:u w:val="single"/>
        </w:rPr>
      </w:pPr>
      <w:r w:rsidRPr="003A5C0A">
        <w:rPr>
          <w:rFonts w:eastAsia="Calibri"/>
          <w:szCs w:val="28"/>
        </w:rPr>
        <w:t xml:space="preserve">            </w:t>
      </w:r>
      <w:r w:rsidRPr="003A5C0A">
        <w:rPr>
          <w:rFonts w:eastAsia="Calibri"/>
          <w:szCs w:val="28"/>
          <w:u w:val="single"/>
        </w:rPr>
        <w:t>При этом</w:t>
      </w:r>
      <w:proofErr w:type="gramStart"/>
      <w:r w:rsidRPr="003A5C0A">
        <w:rPr>
          <w:rFonts w:eastAsia="Calibri"/>
          <w:szCs w:val="28"/>
          <w:u w:val="single"/>
        </w:rPr>
        <w:t>,</w:t>
      </w:r>
      <w:proofErr w:type="gramEnd"/>
      <w:r w:rsidRPr="003A5C0A">
        <w:rPr>
          <w:rFonts w:eastAsia="Calibri"/>
          <w:szCs w:val="28"/>
          <w:u w:val="single"/>
        </w:rPr>
        <w:t xml:space="preserve"> в целях получения субсидии организация обязана: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</w:t>
      </w:r>
      <w:r w:rsidRPr="003A5C0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соответствовать установленным критериям и требованиям;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- предоставлять в администрацию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 документы в соответствии с проектом нормативного акта, в том числе в установленном виде и в установленные сроки;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- в случае принятия администрацией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положительного решения о предоставлении субсидии представить в администрацию подписанное соглашение в двух экземплярах в установленные сроки</w:t>
      </w:r>
      <w:r w:rsidR="002D3FFE">
        <w:rPr>
          <w:rFonts w:eastAsia="Calibri"/>
          <w:szCs w:val="28"/>
        </w:rPr>
        <w:t>;</w:t>
      </w:r>
    </w:p>
    <w:p w:rsidR="001E159A" w:rsidRPr="00D17B42" w:rsidRDefault="002D3FFE" w:rsidP="0022579D">
      <w:pPr>
        <w:spacing w:line="276" w:lineRule="auto"/>
        <w:jc w:val="both"/>
        <w:rPr>
          <w:szCs w:val="28"/>
          <w:u w:val="single"/>
        </w:rPr>
      </w:pPr>
      <w:r>
        <w:rPr>
          <w:rFonts w:eastAsia="Calibri"/>
          <w:szCs w:val="28"/>
        </w:rPr>
        <w:t xml:space="preserve">            - исполнять при заключении соглашения требования проекта нормативного акта.</w:t>
      </w:r>
    </w:p>
    <w:p w:rsidR="00647FF6" w:rsidRPr="00422899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99">
        <w:rPr>
          <w:rFonts w:ascii="Times New Roman" w:hAnsi="Times New Roman" w:cs="Times New Roman"/>
          <w:sz w:val="28"/>
          <w:szCs w:val="28"/>
          <w:u w:val="single"/>
        </w:rPr>
        <w:t>2.5. Причины невозможности решения проблемы участниками</w:t>
      </w:r>
      <w:r w:rsidR="000E0B04" w:rsidRPr="00422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2899">
        <w:rPr>
          <w:rFonts w:ascii="Times New Roman" w:hAnsi="Times New Roman" w:cs="Times New Roman"/>
          <w:sz w:val="28"/>
          <w:szCs w:val="28"/>
          <w:u w:val="single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42289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024D">
        <w:rPr>
          <w:rFonts w:ascii="Times New Roman" w:hAnsi="Times New Roman" w:cs="Times New Roman"/>
          <w:sz w:val="28"/>
          <w:szCs w:val="28"/>
        </w:rPr>
        <w:t xml:space="preserve"> </w:t>
      </w:r>
      <w:r w:rsidR="00AC6D17" w:rsidRPr="00422899">
        <w:rPr>
          <w:rFonts w:ascii="Times New Roman" w:hAnsi="Times New Roman" w:cs="Times New Roman"/>
          <w:sz w:val="28"/>
          <w:szCs w:val="28"/>
        </w:rPr>
        <w:t xml:space="preserve">Отнесено к </w:t>
      </w:r>
      <w:r w:rsidR="00545B31" w:rsidRPr="00422899">
        <w:rPr>
          <w:rFonts w:ascii="Times New Roman" w:hAnsi="Times New Roman" w:cs="Times New Roman"/>
          <w:sz w:val="28"/>
          <w:szCs w:val="28"/>
        </w:rPr>
        <w:t>полномочиям органа местного самоуправления</w:t>
      </w:r>
      <w:r w:rsidR="00A0024D" w:rsidRPr="00422899">
        <w:rPr>
          <w:rFonts w:ascii="Times New Roman" w:hAnsi="Times New Roman" w:cs="Times New Roman"/>
          <w:sz w:val="28"/>
          <w:szCs w:val="28"/>
        </w:rPr>
        <w:t>.</w:t>
      </w:r>
    </w:p>
    <w:p w:rsidR="009229D0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9229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5845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29D0" w:rsidRDefault="009229D0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формы финансирования напрямую предусмотрены Бюджетным кодексом Российской Федерации и применяются на всей территории</w:t>
      </w:r>
      <w:r w:rsidR="00E9141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A0024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A5845" w:rsidRPr="0011014D" w:rsidTr="007361C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5" w:rsidRPr="00D10AB6" w:rsidRDefault="0025694D" w:rsidP="00256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0AB6">
              <w:rPr>
                <w:sz w:val="24"/>
                <w:szCs w:val="24"/>
              </w:rPr>
              <w:t xml:space="preserve">казание поддержки юридическим лицам (хозяйствующим субъектам) городского округа </w:t>
            </w:r>
            <w:proofErr w:type="spellStart"/>
            <w:r w:rsidR="00D10AB6">
              <w:rPr>
                <w:sz w:val="24"/>
                <w:szCs w:val="24"/>
              </w:rPr>
              <w:t>Кинель</w:t>
            </w:r>
            <w:proofErr w:type="spellEnd"/>
            <w:r w:rsidR="00D10AB6">
              <w:rPr>
                <w:sz w:val="24"/>
                <w:szCs w:val="24"/>
              </w:rPr>
              <w:t xml:space="preserve"> Самарской области в связи с угрозой распространения новой </w:t>
            </w:r>
            <w:proofErr w:type="spellStart"/>
            <w:r w:rsidR="00D10AB6">
              <w:rPr>
                <w:sz w:val="24"/>
                <w:szCs w:val="24"/>
              </w:rPr>
              <w:t>коронавирусной</w:t>
            </w:r>
            <w:proofErr w:type="spellEnd"/>
            <w:r w:rsidR="00D10AB6">
              <w:rPr>
                <w:sz w:val="24"/>
                <w:szCs w:val="24"/>
              </w:rPr>
              <w:t xml:space="preserve"> инфекции (</w:t>
            </w:r>
            <w:r w:rsidR="00D10AB6">
              <w:rPr>
                <w:sz w:val="24"/>
                <w:szCs w:val="24"/>
                <w:lang w:val="en-US"/>
              </w:rPr>
              <w:t>COVID</w:t>
            </w:r>
            <w:r w:rsidR="00D10AB6" w:rsidRPr="00D10AB6">
              <w:rPr>
                <w:sz w:val="24"/>
                <w:szCs w:val="24"/>
              </w:rPr>
              <w:t>-19</w:t>
            </w:r>
            <w:r w:rsidR="00D10AB6">
              <w:rPr>
                <w:sz w:val="24"/>
                <w:szCs w:val="24"/>
              </w:rPr>
              <w:t>) в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5" w:rsidRPr="0011014D" w:rsidRDefault="003A5845" w:rsidP="00736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 xml:space="preserve">С принятием </w:t>
            </w:r>
            <w:r w:rsidR="00223F28">
              <w:rPr>
                <w:sz w:val="24"/>
                <w:szCs w:val="24"/>
              </w:rPr>
              <w:t xml:space="preserve">данного </w:t>
            </w:r>
            <w:r w:rsidRPr="003A5845">
              <w:rPr>
                <w:sz w:val="24"/>
                <w:szCs w:val="24"/>
              </w:rPr>
              <w:t>проекта нормативного акта</w:t>
            </w:r>
            <w:r w:rsidR="00223F28">
              <w:rPr>
                <w:sz w:val="24"/>
                <w:szCs w:val="24"/>
              </w:rPr>
              <w:t xml:space="preserve"> и заключением соглашения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45" w:rsidRPr="0011014D" w:rsidRDefault="002569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в соответствии с планом проведения экспертизы нормативных правовых актов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деятельности</w:t>
            </w:r>
          </w:p>
        </w:tc>
      </w:tr>
    </w:tbl>
    <w:p w:rsidR="00A16D99" w:rsidRPr="004B1BA5" w:rsidRDefault="009771D2" w:rsidP="00A248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   </w:t>
      </w:r>
      <w:r w:rsidR="00A2488D">
        <w:rPr>
          <w:rFonts w:ascii="Times New Roman" w:hAnsi="Times New Roman" w:cs="Times New Roman"/>
          <w:sz w:val="28"/>
          <w:szCs w:val="28"/>
        </w:rPr>
        <w:t xml:space="preserve">     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A16D99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60A35" w:rsidRPr="00A16D9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16D9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A16D99">
        <w:rPr>
          <w:rFonts w:ascii="Times New Roman" w:hAnsi="Times New Roman" w:cs="Times New Roman"/>
          <w:sz w:val="28"/>
          <w:szCs w:val="28"/>
          <w:u w:val="single"/>
        </w:rPr>
        <w:t>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A16D9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1B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1BA5" w:rsidRPr="004B1BA5">
        <w:rPr>
          <w:rFonts w:ascii="Times New Roman" w:hAnsi="Times New Roman" w:cs="Times New Roman"/>
          <w:sz w:val="28"/>
          <w:szCs w:val="28"/>
        </w:rPr>
        <w:t>п</w:t>
      </w:r>
      <w:r w:rsidR="004B1BA5">
        <w:rPr>
          <w:rFonts w:ascii="Times New Roman" w:hAnsi="Times New Roman" w:cs="Times New Roman"/>
          <w:sz w:val="28"/>
          <w:szCs w:val="28"/>
        </w:rPr>
        <w:t>остановление</w:t>
      </w:r>
      <w:r w:rsidR="004B1BA5" w:rsidRPr="004B1BA5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20 мая 2020 г. № 339 «О внесении изменений в постановление Правительства Самарской области от 27 ноября 2013 г. № 677 «Об утверждении государственн</w:t>
      </w:r>
      <w:r w:rsidR="004B1BA5">
        <w:rPr>
          <w:rFonts w:ascii="Times New Roman" w:hAnsi="Times New Roman" w:cs="Times New Roman"/>
          <w:sz w:val="28"/>
          <w:szCs w:val="28"/>
        </w:rPr>
        <w:t>ой программы Самарской области «</w:t>
      </w:r>
      <w:r w:rsidR="004B1BA5" w:rsidRPr="004B1BA5">
        <w:rPr>
          <w:rFonts w:ascii="Times New Roman" w:hAnsi="Times New Roman" w:cs="Times New Roman"/>
          <w:sz w:val="28"/>
          <w:szCs w:val="28"/>
        </w:rPr>
        <w:t>Развитие транспортной системы Самарской области (2014-2025</w:t>
      </w:r>
      <w:proofErr w:type="gramEnd"/>
      <w:r w:rsidR="004B1BA5" w:rsidRPr="004B1BA5">
        <w:rPr>
          <w:rFonts w:ascii="Times New Roman" w:hAnsi="Times New Roman" w:cs="Times New Roman"/>
          <w:sz w:val="28"/>
          <w:szCs w:val="28"/>
        </w:rPr>
        <w:t xml:space="preserve"> годы)»</w:t>
      </w:r>
      <w:r w:rsidR="004B1B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268"/>
        <w:gridCol w:w="1417"/>
        <w:gridCol w:w="2268"/>
      </w:tblGrid>
      <w:tr w:rsidR="009771D2" w:rsidRPr="0011014D" w:rsidTr="00A2488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3.6. Индикаторы достижения целей предлагаемого </w:t>
            </w:r>
            <w:r w:rsidRPr="0011014D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3.7. Единица измерения </w:t>
            </w:r>
            <w:r w:rsidRPr="0011014D">
              <w:rPr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3.8. Целевые значения индикаторов по </w:t>
            </w:r>
            <w:r w:rsidRPr="0011014D">
              <w:rPr>
                <w:sz w:val="24"/>
                <w:szCs w:val="24"/>
              </w:rPr>
              <w:lastRenderedPageBreak/>
              <w:t>годам</w:t>
            </w:r>
          </w:p>
        </w:tc>
      </w:tr>
      <w:tr w:rsidR="0077774E" w:rsidRPr="0011014D" w:rsidTr="00A2488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C31C06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488D">
              <w:rPr>
                <w:sz w:val="22"/>
                <w:szCs w:val="22"/>
              </w:rPr>
              <w:lastRenderedPageBreak/>
              <w:t xml:space="preserve">Оказание поддержки юридическим лицам (хозяйствующим субъектам) городского округа </w:t>
            </w:r>
            <w:proofErr w:type="spellStart"/>
            <w:r w:rsidRPr="00A2488D">
              <w:rPr>
                <w:sz w:val="22"/>
                <w:szCs w:val="22"/>
              </w:rPr>
              <w:t>Кинель</w:t>
            </w:r>
            <w:proofErr w:type="spellEnd"/>
            <w:r w:rsidRPr="00A2488D">
              <w:rPr>
                <w:sz w:val="22"/>
                <w:szCs w:val="22"/>
              </w:rPr>
              <w:t xml:space="preserve"> Самарской области в связи с угрозой распространения новой </w:t>
            </w:r>
            <w:proofErr w:type="spellStart"/>
            <w:r w:rsidRPr="00A2488D">
              <w:rPr>
                <w:sz w:val="22"/>
                <w:szCs w:val="22"/>
              </w:rPr>
              <w:t>коронавирусной</w:t>
            </w:r>
            <w:proofErr w:type="spellEnd"/>
            <w:r w:rsidRPr="00A2488D">
              <w:rPr>
                <w:sz w:val="22"/>
                <w:szCs w:val="22"/>
              </w:rPr>
              <w:t xml:space="preserve"> инфекции (</w:t>
            </w:r>
            <w:r w:rsidRPr="00A2488D">
              <w:rPr>
                <w:sz w:val="22"/>
                <w:szCs w:val="22"/>
                <w:lang w:val="en-US"/>
              </w:rPr>
              <w:t>COVID</w:t>
            </w:r>
            <w:r w:rsidRPr="00A2488D">
              <w:rPr>
                <w:sz w:val="22"/>
                <w:szCs w:val="22"/>
              </w:rPr>
              <w:t>-19) в Самарской</w:t>
            </w:r>
            <w:r>
              <w:rPr>
                <w:sz w:val="24"/>
                <w:szCs w:val="24"/>
              </w:rPr>
              <w:t xml:space="preserve"> </w:t>
            </w:r>
            <w:r w:rsidRPr="00A2488D">
              <w:rPr>
                <w:sz w:val="22"/>
                <w:szCs w:val="22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предоставленных субсидий из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A2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показателями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AA5365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65">
        <w:rPr>
          <w:rFonts w:ascii="Times New Roman" w:hAnsi="Times New Roman" w:cs="Times New Roman"/>
          <w:sz w:val="28"/>
          <w:szCs w:val="28"/>
          <w:u w:val="single"/>
        </w:rPr>
        <w:t>3.9. Методы расчета индикаторов достижения целей предлагаемого</w:t>
      </w:r>
      <w:r w:rsidR="000049C7" w:rsidRPr="00A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5365">
        <w:rPr>
          <w:rFonts w:ascii="Times New Roman" w:hAnsi="Times New Roman" w:cs="Times New Roman"/>
          <w:sz w:val="28"/>
          <w:szCs w:val="28"/>
          <w:u w:val="single"/>
        </w:rPr>
        <w:t>правового регулирования, источники информации для расчетов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AA5365">
        <w:rPr>
          <w:rFonts w:ascii="Times New Roman" w:hAnsi="Times New Roman" w:cs="Times New Roman"/>
          <w:sz w:val="28"/>
          <w:szCs w:val="28"/>
        </w:rPr>
        <w:t>аналитические</w:t>
      </w:r>
      <w:r w:rsidR="008E4D4D" w:rsidRPr="00AA5365">
        <w:rPr>
          <w:rFonts w:ascii="Times New Roman" w:hAnsi="Times New Roman" w:cs="Times New Roman"/>
          <w:sz w:val="28"/>
          <w:szCs w:val="28"/>
        </w:rPr>
        <w:t>, а также на основании предоставленных юридическими лицами (за исключением муниципальных учреждений), индивидуальными предпринимателями для получения субсидии документов</w:t>
      </w:r>
      <w:r w:rsidR="005F215E" w:rsidRPr="00AA5365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65">
        <w:rPr>
          <w:rFonts w:ascii="Times New Roman" w:hAnsi="Times New Roman" w:cs="Times New Roman"/>
          <w:sz w:val="28"/>
          <w:szCs w:val="28"/>
          <w:u w:val="single"/>
        </w:rPr>
        <w:t>3.10. Оценка затрат на проведение мониторинга достижения целей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5365">
        <w:rPr>
          <w:rFonts w:ascii="Times New Roman" w:hAnsi="Times New Roman" w:cs="Times New Roman"/>
          <w:sz w:val="28"/>
          <w:szCs w:val="28"/>
          <w:u w:val="single"/>
        </w:rPr>
        <w:t>предлагаемого правового регулирования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AA536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AA5365" w:rsidRPr="00AA5365">
        <w:rPr>
          <w:rFonts w:ascii="Times New Roman" w:hAnsi="Times New Roman" w:cs="Times New Roman"/>
          <w:sz w:val="28"/>
          <w:szCs w:val="28"/>
        </w:rPr>
        <w:t>отсутствуют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041DC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1041DC" w:rsidP="00104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5F215E" w:rsidRPr="0011014D">
              <w:rPr>
                <w:sz w:val="24"/>
                <w:szCs w:val="24"/>
              </w:rPr>
              <w:t>ридические лица (за исключением муниципальных учреждений), индивидуальные предприниматели</w:t>
            </w:r>
            <w:r>
              <w:rPr>
                <w:sz w:val="24"/>
                <w:szCs w:val="24"/>
              </w:rPr>
              <w:t xml:space="preserve"> – производители работ, осуществляющие свою деятельность на территории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по перевозке пассажиров по муниципальным маршрутам регулярных перевозок по регулируемым тарифам по социальным картам жителя Самарской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D2" w:rsidRPr="0011014D" w:rsidRDefault="001041DC" w:rsidP="00104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удовлетворяющие требованиям проекта нормативного акта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1041DC" w:rsidP="00104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управления экономического развития, инвестиций и потребительского рынка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2" w:rsidRDefault="009771D2" w:rsidP="00A06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Функция (полномочие, обязанность или право)</w:t>
            </w:r>
            <w:r w:rsidR="00545B31">
              <w:rPr>
                <w:sz w:val="24"/>
                <w:szCs w:val="24"/>
              </w:rPr>
              <w:t>:</w:t>
            </w:r>
            <w:r w:rsidRPr="0011014D">
              <w:rPr>
                <w:sz w:val="24"/>
                <w:szCs w:val="24"/>
              </w:rPr>
              <w:t xml:space="preserve"> </w:t>
            </w:r>
            <w:r w:rsidR="00545B31">
              <w:rPr>
                <w:sz w:val="24"/>
                <w:szCs w:val="24"/>
              </w:rPr>
              <w:t xml:space="preserve">предоставление </w:t>
            </w:r>
            <w:r w:rsidR="008E4D4D" w:rsidRPr="008E4D4D">
              <w:rPr>
                <w:sz w:val="24"/>
                <w:szCs w:val="24"/>
              </w:rPr>
              <w:t>субсидий 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индивидуальных предпринимателей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545B31" w:rsidRPr="00545B31">
              <w:rPr>
                <w:sz w:val="24"/>
                <w:szCs w:val="24"/>
              </w:rPr>
              <w:t xml:space="preserve">осуществляющим деятельность на территории городского округа Кинель Самарской области, </w:t>
            </w:r>
            <w:r w:rsidR="00A06412" w:rsidRPr="00A06412">
              <w:rPr>
                <w:sz w:val="24"/>
                <w:szCs w:val="24"/>
              </w:rPr>
              <w:t xml:space="preserve">в целях реализации мероприятий по оказанию содействия транспортным организациям, осуществляющим деятельность по </w:t>
            </w:r>
            <w:r w:rsidR="00A06412" w:rsidRPr="00A06412">
              <w:rPr>
                <w:sz w:val="24"/>
                <w:szCs w:val="24"/>
              </w:rPr>
              <w:lastRenderedPageBreak/>
              <w:t xml:space="preserve">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      </w:r>
            <w:proofErr w:type="spellStart"/>
            <w:r w:rsidR="00A06412" w:rsidRPr="00A06412">
              <w:rPr>
                <w:sz w:val="24"/>
                <w:szCs w:val="24"/>
              </w:rPr>
              <w:t>коронавирусной</w:t>
            </w:r>
            <w:proofErr w:type="spellEnd"/>
            <w:r w:rsidR="00A06412" w:rsidRPr="00A06412">
              <w:rPr>
                <w:sz w:val="24"/>
                <w:szCs w:val="24"/>
              </w:rPr>
              <w:t xml:space="preserve"> инфекции (COVID-19</w:t>
            </w:r>
            <w:proofErr w:type="gramEnd"/>
            <w:r w:rsidR="00A06412" w:rsidRPr="00A06412">
              <w:rPr>
                <w:sz w:val="24"/>
                <w:szCs w:val="24"/>
              </w:rPr>
              <w:t>) осуществляется в соответствии с проектом нормативного акта и заключаемым в соответствии с Бюджетным кодексом Российской Федерации соглашением (договором).</w:t>
            </w:r>
          </w:p>
          <w:p w:rsidR="009771D2" w:rsidRPr="0011014D" w:rsidRDefault="00545B31" w:rsidP="00A06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4D4D" w:rsidRPr="008E4D4D">
              <w:rPr>
                <w:sz w:val="24"/>
                <w:szCs w:val="24"/>
              </w:rPr>
              <w:t xml:space="preserve">а реализацию </w:t>
            </w:r>
            <w:r>
              <w:rPr>
                <w:sz w:val="24"/>
                <w:szCs w:val="24"/>
              </w:rPr>
              <w:t xml:space="preserve">полномочия </w:t>
            </w:r>
            <w:r w:rsidR="008E4D4D">
              <w:rPr>
                <w:sz w:val="24"/>
                <w:szCs w:val="24"/>
              </w:rPr>
              <w:t>р</w:t>
            </w:r>
            <w:r w:rsidR="008E4D4D" w:rsidRPr="008E4D4D">
              <w:rPr>
                <w:sz w:val="24"/>
                <w:szCs w:val="24"/>
              </w:rPr>
              <w:t xml:space="preserve">ешением Думы городского округа </w:t>
            </w:r>
            <w:proofErr w:type="spellStart"/>
            <w:r w:rsidR="008E4D4D" w:rsidRPr="008E4D4D">
              <w:rPr>
                <w:sz w:val="24"/>
                <w:szCs w:val="24"/>
              </w:rPr>
              <w:t>Кинель</w:t>
            </w:r>
            <w:proofErr w:type="spellEnd"/>
            <w:r w:rsidR="008E4D4D" w:rsidRPr="008E4D4D">
              <w:rPr>
                <w:sz w:val="24"/>
                <w:szCs w:val="24"/>
              </w:rPr>
              <w:t xml:space="preserve"> Самарской области</w:t>
            </w:r>
            <w:r w:rsidR="00A06412">
              <w:rPr>
                <w:sz w:val="24"/>
                <w:szCs w:val="24"/>
              </w:rPr>
              <w:t xml:space="preserve"> от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1</w:t>
            </w:r>
            <w:r w:rsidR="00A06412">
              <w:rPr>
                <w:sz w:val="24"/>
                <w:szCs w:val="24"/>
              </w:rPr>
              <w:t>7.12.2019</w:t>
            </w:r>
            <w:r w:rsidR="008E4D4D">
              <w:rPr>
                <w:sz w:val="24"/>
                <w:szCs w:val="24"/>
              </w:rPr>
              <w:t xml:space="preserve"> </w:t>
            </w:r>
            <w:r w:rsidR="00A06412">
              <w:rPr>
                <w:sz w:val="24"/>
                <w:szCs w:val="24"/>
              </w:rPr>
              <w:t>№513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A06412">
              <w:rPr>
                <w:sz w:val="24"/>
                <w:szCs w:val="24"/>
              </w:rPr>
              <w:t>(с изменениями от 30.01.2020г., от 27.02.2020г., от 26.03.2020г., 28.05.2020г., от 23.06.2020г.) в 2020</w:t>
            </w:r>
            <w:r w:rsidR="008E4D4D" w:rsidRPr="008E4D4D">
              <w:rPr>
                <w:sz w:val="24"/>
                <w:szCs w:val="24"/>
              </w:rPr>
              <w:t>году предусмотрено финансирование</w:t>
            </w:r>
            <w:r w:rsidR="008D2282">
              <w:rPr>
                <w:sz w:val="24"/>
                <w:szCs w:val="24"/>
              </w:rPr>
              <w:t xml:space="preserve"> в размере </w:t>
            </w:r>
            <w:r w:rsidR="00A06412">
              <w:rPr>
                <w:sz w:val="24"/>
                <w:szCs w:val="24"/>
              </w:rPr>
              <w:t xml:space="preserve">106,0 </w:t>
            </w:r>
            <w:r w:rsidR="008D2282">
              <w:rPr>
                <w:sz w:val="24"/>
                <w:szCs w:val="24"/>
              </w:rPr>
              <w:t>тыс</w:t>
            </w:r>
            <w:proofErr w:type="gramStart"/>
            <w:r w:rsidR="008D2282">
              <w:rPr>
                <w:sz w:val="24"/>
                <w:szCs w:val="24"/>
              </w:rPr>
              <w:t>.р</w:t>
            </w:r>
            <w:proofErr w:type="gramEnd"/>
            <w:r w:rsidR="008D2282">
              <w:rPr>
                <w:sz w:val="24"/>
                <w:szCs w:val="24"/>
              </w:rPr>
              <w:t>уб</w:t>
            </w:r>
            <w:r w:rsidR="008E4D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3455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B09">
              <w:rPr>
                <w:sz w:val="20"/>
              </w:rPr>
              <w:t>Пе</w:t>
            </w:r>
            <w:r w:rsidR="00D70B06" w:rsidRPr="002E0B09">
              <w:rPr>
                <w:sz w:val="20"/>
              </w:rPr>
              <w:t>риодические расходы</w:t>
            </w:r>
            <w:r w:rsidR="008E4D4D" w:rsidRPr="002E0B09">
              <w:rPr>
                <w:sz w:val="20"/>
              </w:rPr>
              <w:t>:</w:t>
            </w:r>
            <w:r w:rsidR="00D70B06" w:rsidRPr="002E0B09">
              <w:rPr>
                <w:sz w:val="20"/>
              </w:rPr>
              <w:t xml:space="preserve"> </w:t>
            </w:r>
            <w:r w:rsidR="002E0B09" w:rsidRPr="002E0B09">
              <w:rPr>
                <w:sz w:val="20"/>
              </w:rPr>
              <w:t xml:space="preserve">возмещение недополученных доходов от перевозки пассажиров по социальным картам жителя Самарской области </w:t>
            </w:r>
            <w:r w:rsidR="002E0B09">
              <w:rPr>
                <w:sz w:val="24"/>
                <w:szCs w:val="24"/>
              </w:rPr>
              <w:t xml:space="preserve"> </w:t>
            </w:r>
            <w:r w:rsidR="002E0B09" w:rsidRPr="002E0B09">
              <w:rPr>
                <w:sz w:val="20"/>
              </w:rPr>
              <w:t>и затрат на приобретение ГСМ</w:t>
            </w:r>
            <w:r w:rsidR="002E0B09">
              <w:rPr>
                <w:sz w:val="20"/>
              </w:rPr>
              <w:t>. Ежемесячно.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2E0B09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0,1064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Итого един</w:t>
            </w:r>
            <w:r w:rsidR="00A06412">
              <w:rPr>
                <w:sz w:val="24"/>
                <w:szCs w:val="24"/>
              </w:rPr>
              <w:t>овременные расходы за период 2020</w:t>
            </w:r>
            <w:r w:rsidRPr="0011014D">
              <w:rPr>
                <w:sz w:val="24"/>
                <w:szCs w:val="24"/>
              </w:rPr>
              <w:t>-20</w:t>
            </w:r>
            <w:r w:rsidR="00A06412">
              <w:rPr>
                <w:sz w:val="24"/>
                <w:szCs w:val="24"/>
              </w:rPr>
              <w:t>22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</w:t>
            </w:r>
            <w:r w:rsidR="00A06412">
              <w:rPr>
                <w:sz w:val="24"/>
                <w:szCs w:val="24"/>
              </w:rPr>
              <w:t>20</w:t>
            </w:r>
            <w:r w:rsidRPr="0011014D">
              <w:rPr>
                <w:sz w:val="24"/>
                <w:szCs w:val="24"/>
              </w:rPr>
              <w:t>-20</w:t>
            </w:r>
            <w:r w:rsidR="00A06412">
              <w:rPr>
                <w:sz w:val="24"/>
                <w:szCs w:val="24"/>
              </w:rPr>
              <w:t>22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2E0B09" w:rsidP="006F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0,1064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</w:t>
            </w:r>
            <w:r w:rsidR="00A06412">
              <w:rPr>
                <w:sz w:val="24"/>
                <w:szCs w:val="24"/>
              </w:rPr>
              <w:t>20</w:t>
            </w:r>
            <w:r w:rsidRPr="0011014D">
              <w:rPr>
                <w:sz w:val="24"/>
                <w:szCs w:val="24"/>
              </w:rPr>
              <w:t>-20</w:t>
            </w:r>
            <w:r w:rsidR="00A06412">
              <w:rPr>
                <w:sz w:val="24"/>
                <w:szCs w:val="24"/>
              </w:rPr>
              <w:t>22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5.4. </w:t>
      </w:r>
      <w:r w:rsidRPr="000A430F">
        <w:rPr>
          <w:rFonts w:ascii="Times New Roman" w:hAnsi="Times New Roman" w:cs="Times New Roman"/>
          <w:sz w:val="28"/>
          <w:szCs w:val="28"/>
          <w:u w:val="single"/>
        </w:rPr>
        <w:t>Другие сведения о дополнительных расходах (доходах) бюджета</w:t>
      </w:r>
      <w:r w:rsidR="00134128" w:rsidRPr="000A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430F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Кинель, возникающих в связи с введением предлагаемого правового регулирования</w:t>
      </w:r>
      <w:r w:rsidR="00A070D8" w:rsidRPr="000A430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70D8" w:rsidRPr="000A430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9771D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5.5. </w:t>
      </w:r>
      <w:r w:rsidRPr="00721821">
        <w:rPr>
          <w:rFonts w:ascii="Times New Roman" w:hAnsi="Times New Roman" w:cs="Times New Roman"/>
          <w:sz w:val="28"/>
          <w:szCs w:val="28"/>
          <w:u w:val="single"/>
        </w:rPr>
        <w:t>Источники данных</w:t>
      </w:r>
      <w:r w:rsidR="00A070D8" w:rsidRPr="007218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70D8" w:rsidRPr="00721821">
        <w:rPr>
          <w:rFonts w:ascii="Times New Roman" w:hAnsi="Times New Roman" w:cs="Times New Roman"/>
          <w:sz w:val="28"/>
          <w:szCs w:val="28"/>
        </w:rPr>
        <w:t xml:space="preserve">аналитическая информация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A070D8" w:rsidRPr="0072182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070D8" w:rsidRPr="0072182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6.4. Количественная оценка, 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Группа 1: </w:t>
            </w:r>
            <w:r w:rsidR="00EA5452">
              <w:rPr>
                <w:sz w:val="24"/>
                <w:szCs w:val="24"/>
              </w:rPr>
              <w:t>Ю</w:t>
            </w:r>
            <w:r w:rsidR="00EA5452" w:rsidRPr="0011014D">
              <w:rPr>
                <w:sz w:val="24"/>
                <w:szCs w:val="24"/>
              </w:rPr>
              <w:t>ридические лица (за исключением муниципальных учреждений), индивидуальные предприниматели</w:t>
            </w:r>
            <w:r w:rsidR="00EA5452">
              <w:rPr>
                <w:sz w:val="24"/>
                <w:szCs w:val="24"/>
              </w:rPr>
              <w:t xml:space="preserve"> – производители работ, </w:t>
            </w:r>
            <w:r w:rsidR="00EA5452">
              <w:rPr>
                <w:sz w:val="24"/>
                <w:szCs w:val="24"/>
              </w:rPr>
              <w:lastRenderedPageBreak/>
              <w:t xml:space="preserve">осуществляющие свою деятельность на территории городского округа </w:t>
            </w:r>
            <w:proofErr w:type="spellStart"/>
            <w:r w:rsidR="00EA5452">
              <w:rPr>
                <w:sz w:val="24"/>
                <w:szCs w:val="24"/>
              </w:rPr>
              <w:t>Кинель</w:t>
            </w:r>
            <w:proofErr w:type="spellEnd"/>
            <w:r w:rsidR="00EA5452">
              <w:rPr>
                <w:sz w:val="24"/>
                <w:szCs w:val="24"/>
              </w:rPr>
              <w:t xml:space="preserve"> Самарской области по перевозке пассажиров по муниципальным маршрутам регулярных перевозок по регулируемым тарифам по социальным картам жителя Самарской </w:t>
            </w:r>
            <w:r w:rsidR="00EA5452" w:rsidRPr="006E319E">
              <w:rPr>
                <w:sz w:val="22"/>
                <w:szCs w:val="22"/>
              </w:rPr>
              <w:t>области</w:t>
            </w:r>
          </w:p>
        </w:tc>
        <w:tc>
          <w:tcPr>
            <w:tcW w:w="4252" w:type="dxa"/>
            <w:vMerge w:val="restart"/>
            <w:vAlign w:val="center"/>
          </w:tcPr>
          <w:p w:rsidR="0034559E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Условия представления субсидии:</w:t>
            </w:r>
          </w:p>
          <w:p w:rsidR="0034559E" w:rsidRPr="00F8730C" w:rsidRDefault="0034559E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59E">
              <w:rPr>
                <w:sz w:val="22"/>
                <w:szCs w:val="22"/>
              </w:rPr>
              <w:t>-</w:t>
            </w:r>
            <w:r w:rsidR="00EA5452" w:rsidRPr="00EA5452">
              <w:rPr>
                <w:sz w:val="24"/>
                <w:szCs w:val="24"/>
              </w:rPr>
              <w:t xml:space="preserve">наличие действующего муниципального контракта на </w:t>
            </w:r>
            <w:r w:rsidR="00EA5452" w:rsidRPr="00F8730C">
              <w:rPr>
                <w:sz w:val="22"/>
                <w:szCs w:val="22"/>
              </w:rPr>
              <w:t xml:space="preserve">выполнение работ, связанных с осуществлением регулярных перевозок по муниципальным маршрутам регулярных перевозок городского округа </w:t>
            </w:r>
            <w:proofErr w:type="spellStart"/>
            <w:r w:rsidR="00EA5452" w:rsidRPr="00F8730C">
              <w:rPr>
                <w:sz w:val="22"/>
                <w:szCs w:val="22"/>
              </w:rPr>
              <w:t>Кинель</w:t>
            </w:r>
            <w:proofErr w:type="spellEnd"/>
            <w:r w:rsidR="00EA5452" w:rsidRPr="00F8730C">
              <w:rPr>
                <w:sz w:val="22"/>
                <w:szCs w:val="22"/>
              </w:rPr>
              <w:t xml:space="preserve"> Самарской области по регулируемым </w:t>
            </w:r>
            <w:r w:rsidR="00EA5452" w:rsidRPr="00F8730C">
              <w:rPr>
                <w:sz w:val="22"/>
                <w:szCs w:val="22"/>
              </w:rPr>
              <w:lastRenderedPageBreak/>
              <w:t>тарифам между Получателем субсидии и Главным распорядителем, как получателем бюджетных средств</w:t>
            </w:r>
            <w:r w:rsidRPr="00F8730C">
              <w:rPr>
                <w:sz w:val="22"/>
                <w:szCs w:val="22"/>
              </w:rPr>
              <w:t>;</w:t>
            </w:r>
          </w:p>
          <w:p w:rsidR="008A7B1A" w:rsidRPr="00F8730C" w:rsidRDefault="0034559E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730C">
              <w:rPr>
                <w:sz w:val="22"/>
                <w:szCs w:val="22"/>
              </w:rPr>
              <w:t xml:space="preserve">- </w:t>
            </w:r>
            <w:r w:rsidR="00EA5452" w:rsidRPr="00F8730C">
              <w:rPr>
                <w:sz w:val="22"/>
                <w:szCs w:val="22"/>
              </w:rPr>
              <w:t xml:space="preserve">наличие недополученных </w:t>
            </w:r>
            <w:r w:rsidR="00EA5452" w:rsidRPr="00F8730C">
              <w:rPr>
                <w:rFonts w:eastAsia="Calibri"/>
                <w:spacing w:val="-2"/>
                <w:sz w:val="22"/>
                <w:szCs w:val="22"/>
              </w:rPr>
              <w:t xml:space="preserve">транспортными организациями </w:t>
            </w:r>
            <w:r w:rsidR="00EA5452" w:rsidRPr="00F8730C">
              <w:rPr>
                <w:sz w:val="22"/>
                <w:szCs w:val="22"/>
              </w:rPr>
              <w:t xml:space="preserve">доходов </w:t>
            </w:r>
            <w:proofErr w:type="gramStart"/>
            <w:r w:rsidR="00EA5452" w:rsidRPr="00F8730C">
              <w:rPr>
                <w:rFonts w:eastAsia="Calibri"/>
                <w:sz w:val="22"/>
                <w:szCs w:val="22"/>
              </w:rPr>
              <w:t>в связи со снижением пассажиропотока в связи с выполнением работ по перевозке</w:t>
            </w:r>
            <w:proofErr w:type="gramEnd"/>
            <w:r w:rsidR="00EA5452" w:rsidRPr="00F8730C">
              <w:rPr>
                <w:rFonts w:eastAsia="Calibri"/>
                <w:sz w:val="22"/>
                <w:szCs w:val="22"/>
              </w:rPr>
              <w:t xml:space="preserve"> по социальной карте;</w:t>
            </w:r>
          </w:p>
          <w:p w:rsidR="00EA5452" w:rsidRPr="00F8730C" w:rsidRDefault="00EA5452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30C">
              <w:rPr>
                <w:rFonts w:eastAsia="Calibri"/>
                <w:sz w:val="22"/>
                <w:szCs w:val="22"/>
              </w:rPr>
              <w:t xml:space="preserve">- </w:t>
            </w:r>
            <w:r w:rsidRPr="00F8730C">
              <w:rPr>
                <w:sz w:val="22"/>
                <w:szCs w:val="22"/>
              </w:rPr>
              <w:t>наличие расходов на горюче-смазочные материалы для</w:t>
            </w:r>
            <w:r w:rsidRPr="00EA5452">
              <w:rPr>
                <w:sz w:val="24"/>
                <w:szCs w:val="24"/>
              </w:rPr>
              <w:t xml:space="preserve"> </w:t>
            </w:r>
            <w:r w:rsidRPr="00F8730C">
              <w:rPr>
                <w:sz w:val="22"/>
                <w:szCs w:val="22"/>
              </w:rPr>
              <w:t>автомобильного транспорта.</w:t>
            </w:r>
          </w:p>
          <w:p w:rsidR="0034559E" w:rsidRPr="00F8730C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30C">
              <w:rPr>
                <w:sz w:val="22"/>
                <w:szCs w:val="22"/>
              </w:rPr>
              <w:t>Требования к представляемым документам:</w:t>
            </w:r>
          </w:p>
          <w:p w:rsidR="0034559E" w:rsidRPr="0034559E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59E">
              <w:rPr>
                <w:sz w:val="22"/>
                <w:szCs w:val="22"/>
              </w:rPr>
              <w:t>- предоставлени</w:t>
            </w:r>
            <w:r>
              <w:rPr>
                <w:sz w:val="22"/>
                <w:szCs w:val="22"/>
              </w:rPr>
              <w:t>е</w:t>
            </w:r>
            <w:r w:rsidRPr="0034559E">
              <w:rPr>
                <w:sz w:val="22"/>
                <w:szCs w:val="22"/>
              </w:rPr>
              <w:t xml:space="preserve"> банковских реквизитов;</w:t>
            </w:r>
          </w:p>
          <w:p w:rsidR="0034559E" w:rsidRPr="008A7B1A" w:rsidRDefault="0034559E" w:rsidP="000A3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59E">
              <w:rPr>
                <w:sz w:val="22"/>
                <w:szCs w:val="22"/>
              </w:rPr>
              <w:t>- представляемые копии документов должны быть заверены руков</w:t>
            </w:r>
            <w:r w:rsidR="000A391C">
              <w:rPr>
                <w:sz w:val="22"/>
                <w:szCs w:val="22"/>
              </w:rPr>
              <w:t xml:space="preserve">одителем Получателя. Документы, </w:t>
            </w:r>
            <w:r w:rsidRPr="0034559E">
              <w:rPr>
                <w:sz w:val="22"/>
                <w:szCs w:val="22"/>
              </w:rPr>
              <w:t>документы должны быть подписаны руководителем и главным бухгалтером Получателя.</w:t>
            </w:r>
          </w:p>
        </w:tc>
        <w:tc>
          <w:tcPr>
            <w:tcW w:w="1985" w:type="dxa"/>
            <w:vAlign w:val="center"/>
          </w:tcPr>
          <w:p w:rsidR="009E488B" w:rsidRPr="006E319E" w:rsidRDefault="006E319E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319E">
              <w:rPr>
                <w:sz w:val="22"/>
                <w:szCs w:val="22"/>
              </w:rPr>
              <w:lastRenderedPageBreak/>
              <w:t xml:space="preserve">Получение дохода за счет средств бюджета городского округа </w:t>
            </w:r>
            <w:proofErr w:type="spellStart"/>
            <w:r w:rsidRPr="006E319E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1615" w:type="dxa"/>
            <w:vAlign w:val="center"/>
          </w:tcPr>
          <w:p w:rsidR="009E488B" w:rsidRPr="006E319E" w:rsidRDefault="006E319E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9E">
              <w:rPr>
                <w:sz w:val="22"/>
                <w:szCs w:val="22"/>
              </w:rPr>
              <w:t xml:space="preserve">Количественно не </w:t>
            </w:r>
            <w:proofErr w:type="spellStart"/>
            <w:r w:rsidRPr="006E319E">
              <w:rPr>
                <w:sz w:val="22"/>
                <w:szCs w:val="22"/>
              </w:rPr>
              <w:t>определы</w:t>
            </w:r>
            <w:proofErr w:type="spellEnd"/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6E319E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2C71FD" w:rsidRPr="0011014D" w:rsidRDefault="00A0024D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4B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A8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B0A82">
        <w:rPr>
          <w:rFonts w:ascii="Times New Roman" w:hAnsi="Times New Roman" w:cs="Times New Roman"/>
          <w:sz w:val="28"/>
          <w:szCs w:val="28"/>
        </w:rPr>
        <w:t>казание финансовой поддержки транспортным предприятиям для компенсации потерь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и затрат на горюче-смазочные материалы, используемые для обеспечения работы автомобильного транспорта в условиях угрозы распространения новой корона вирусной инфекции.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</w:t>
      </w:r>
      <w:r w:rsidR="004B0A82">
        <w:rPr>
          <w:rFonts w:ascii="Times New Roman" w:hAnsi="Times New Roman" w:cs="Times New Roman"/>
          <w:sz w:val="28"/>
          <w:szCs w:val="28"/>
        </w:rPr>
        <w:t xml:space="preserve"> -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024D">
        <w:rPr>
          <w:rFonts w:ascii="Times New Roman" w:hAnsi="Times New Roman" w:cs="Times New Roman"/>
          <w:sz w:val="28"/>
          <w:szCs w:val="28"/>
        </w:rPr>
        <w:t>отсутствуют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691D2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  <w:r w:rsidR="004B0A82">
        <w:rPr>
          <w:rFonts w:ascii="Times New Roman" w:hAnsi="Times New Roman" w:cs="Times New Roman"/>
          <w:sz w:val="28"/>
          <w:szCs w:val="28"/>
        </w:rPr>
        <w:t xml:space="preserve"> - </w:t>
      </w:r>
      <w:r w:rsidR="00691D24"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4B0A8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15134C" w:rsidP="0015134C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6E319E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принятие проекта нормативного акта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8.2. Качественная характеристика и оценка динамики численности потенциальных адресатов </w:t>
            </w:r>
            <w:r w:rsidRPr="0011014D">
              <w:rPr>
                <w:sz w:val="24"/>
                <w:szCs w:val="24"/>
              </w:rPr>
              <w:lastRenderedPageBreak/>
              <w:t>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Численность потенциальных адресатов правового регулирования изменяется постоянно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092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84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не достигается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CF65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Неполное использование средств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вследствие отсутствия заявок на получение субсидий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CF65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Риски для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отсутствуют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8.7. </w:t>
      </w:r>
      <w:r w:rsidRPr="0013464D">
        <w:rPr>
          <w:rFonts w:ascii="Times New Roman" w:hAnsi="Times New Roman" w:cs="Times New Roman"/>
          <w:sz w:val="28"/>
          <w:szCs w:val="28"/>
          <w:u w:val="single"/>
        </w:rPr>
        <w:t>Обоснование  выбора  предпочтительного варианта решени</w:t>
      </w:r>
      <w:r w:rsidR="00305384" w:rsidRPr="0013464D">
        <w:rPr>
          <w:rFonts w:ascii="Times New Roman" w:hAnsi="Times New Roman" w:cs="Times New Roman"/>
          <w:sz w:val="28"/>
          <w:szCs w:val="28"/>
          <w:u w:val="single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</w:t>
      </w:r>
      <w:r w:rsidR="008461F1" w:rsidRPr="0013464D">
        <w:rPr>
          <w:rFonts w:ascii="Times New Roman" w:hAnsi="Times New Roman" w:cs="Times New Roman"/>
          <w:sz w:val="28"/>
          <w:szCs w:val="28"/>
        </w:rPr>
        <w:t xml:space="preserve">Цель достигается полностью. </w:t>
      </w:r>
      <w:r w:rsidR="001737C4">
        <w:rPr>
          <w:rFonts w:ascii="Times New Roman" w:hAnsi="Times New Roman" w:cs="Times New Roman"/>
          <w:sz w:val="28"/>
          <w:szCs w:val="28"/>
        </w:rPr>
        <w:t>Принятие нормативного</w:t>
      </w:r>
      <w:r w:rsidR="008461F1" w:rsidRPr="0013464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37C4">
        <w:rPr>
          <w:rFonts w:ascii="Times New Roman" w:hAnsi="Times New Roman" w:cs="Times New Roman"/>
          <w:sz w:val="28"/>
          <w:szCs w:val="28"/>
        </w:rPr>
        <w:t xml:space="preserve">а позволит оказать поддержку транспортным организациям в условиях распространения новой </w:t>
      </w:r>
      <w:proofErr w:type="spellStart"/>
      <w:r w:rsidR="001737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737C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737C4" w:rsidRPr="001737C4">
        <w:rPr>
          <w:rFonts w:ascii="Times New Roman" w:hAnsi="Times New Roman" w:cs="Times New Roman"/>
          <w:sz w:val="28"/>
          <w:szCs w:val="28"/>
        </w:rPr>
        <w:t xml:space="preserve"> (</w:t>
      </w:r>
      <w:r w:rsidR="001737C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737C4" w:rsidRPr="001737C4">
        <w:rPr>
          <w:rFonts w:ascii="Times New Roman" w:hAnsi="Times New Roman" w:cs="Times New Roman"/>
          <w:sz w:val="28"/>
          <w:szCs w:val="28"/>
        </w:rPr>
        <w:t>-19</w:t>
      </w:r>
      <w:r w:rsidR="001737C4">
        <w:rPr>
          <w:rFonts w:ascii="Times New Roman" w:hAnsi="Times New Roman" w:cs="Times New Roman"/>
          <w:sz w:val="28"/>
          <w:szCs w:val="28"/>
        </w:rPr>
        <w:t>)</w:t>
      </w:r>
      <w:r w:rsidR="00305384" w:rsidRPr="001346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8.8. </w:t>
      </w:r>
      <w:r w:rsidRPr="00A95483">
        <w:rPr>
          <w:rFonts w:ascii="Times New Roman" w:hAnsi="Times New Roman" w:cs="Times New Roman"/>
          <w:sz w:val="28"/>
          <w:szCs w:val="28"/>
          <w:u w:val="single"/>
        </w:rPr>
        <w:t>Детальное описание предлагаемого варианта решения проблемы</w:t>
      </w:r>
      <w:r w:rsidR="00D51487" w:rsidRPr="00A954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483">
        <w:rPr>
          <w:rFonts w:ascii="Times New Roman" w:hAnsi="Times New Roman" w:cs="Times New Roman"/>
          <w:sz w:val="28"/>
          <w:szCs w:val="28"/>
        </w:rPr>
        <w:t>П</w:t>
      </w:r>
      <w:r w:rsidR="002D13AF" w:rsidRPr="00A95483">
        <w:rPr>
          <w:rFonts w:ascii="Times New Roman" w:hAnsi="Times New Roman" w:cs="Times New Roman"/>
          <w:sz w:val="28"/>
          <w:szCs w:val="28"/>
        </w:rPr>
        <w:t xml:space="preserve">равовое регулирование проблемы, указанной в пункте 1.5. настоящего отчета, осуществляется </w:t>
      </w:r>
      <w:r w:rsidRPr="00A95483">
        <w:rPr>
          <w:rFonts w:ascii="Times New Roman" w:hAnsi="Times New Roman" w:cs="Times New Roman"/>
          <w:sz w:val="28"/>
          <w:szCs w:val="28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7F268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9.1. </w:t>
      </w:r>
      <w:r w:rsidRPr="007F2682">
        <w:rPr>
          <w:rFonts w:ascii="Times New Roman" w:hAnsi="Times New Roman" w:cs="Times New Roman"/>
          <w:sz w:val="28"/>
          <w:szCs w:val="28"/>
          <w:u w:val="single"/>
        </w:rPr>
        <w:t>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</w:t>
      </w:r>
      <w:r w:rsidR="002D13AF" w:rsidRPr="007F2682">
        <w:rPr>
          <w:rFonts w:ascii="Times New Roman" w:hAnsi="Times New Roman" w:cs="Times New Roman"/>
          <w:sz w:val="28"/>
          <w:szCs w:val="28"/>
        </w:rPr>
        <w:t>н</w:t>
      </w:r>
      <w:r w:rsidR="00E74A2D" w:rsidRPr="007F2682">
        <w:rPr>
          <w:rFonts w:ascii="Times New Roman" w:hAnsi="Times New Roman" w:cs="Times New Roman"/>
          <w:sz w:val="28"/>
          <w:szCs w:val="28"/>
        </w:rPr>
        <w:t xml:space="preserve">а следующий день после дня </w:t>
      </w:r>
      <w:r w:rsidR="002D13AF" w:rsidRPr="007F2682">
        <w:rPr>
          <w:rFonts w:ascii="Times New Roman" w:hAnsi="Times New Roman" w:cs="Times New Roman"/>
          <w:sz w:val="28"/>
          <w:szCs w:val="28"/>
        </w:rPr>
        <w:t xml:space="preserve">его </w:t>
      </w:r>
      <w:r w:rsidR="00E74A2D" w:rsidRPr="007F268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9.2.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74A2D" w:rsidRPr="00D659B4">
        <w:rPr>
          <w:rFonts w:ascii="Times New Roman" w:hAnsi="Times New Roman" w:cs="Times New Roman"/>
          <w:sz w:val="28"/>
          <w:szCs w:val="28"/>
        </w:rPr>
        <w:t>нет.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D659B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>9.3.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Необходимость распространения предлагаемого правового</w:t>
      </w:r>
      <w:r w:rsidR="00E74A2D" w:rsidRPr="00D65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регулирования на ранее возникшие отношения: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74A2D" w:rsidRPr="00D659B4">
        <w:rPr>
          <w:rFonts w:ascii="Times New Roman" w:hAnsi="Times New Roman" w:cs="Times New Roman"/>
          <w:sz w:val="28"/>
          <w:szCs w:val="28"/>
        </w:rPr>
        <w:t>нет.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Период распространения на ранее возникшие отношения: </w:t>
      </w:r>
      <w:r w:rsidR="002D13AF" w:rsidRPr="00D659B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659B4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9.4.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D659B4">
        <w:rPr>
          <w:rFonts w:ascii="Times New Roman" w:hAnsi="Times New Roman" w:cs="Times New Roman"/>
          <w:sz w:val="28"/>
          <w:szCs w:val="28"/>
        </w:rPr>
        <w:t>_</w:t>
      </w:r>
      <w:r w:rsidR="00D659B4">
        <w:rPr>
          <w:rFonts w:ascii="Times New Roman" w:hAnsi="Times New Roman" w:cs="Times New Roman"/>
          <w:b/>
          <w:sz w:val="28"/>
          <w:szCs w:val="28"/>
        </w:rPr>
        <w:t>-</w:t>
      </w:r>
      <w:r w:rsidRPr="00D659B4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977"/>
        <w:gridCol w:w="4677"/>
      </w:tblGrid>
      <w:tr w:rsidR="009771D2" w:rsidRPr="0011014D" w:rsidTr="00424AFF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A7784F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784F">
              <w:rPr>
                <w:sz w:val="22"/>
                <w:szCs w:val="22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A7784F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784F">
              <w:rPr>
                <w:sz w:val="22"/>
                <w:szCs w:val="22"/>
              </w:rPr>
              <w:t xml:space="preserve">Результат рассмотрения предложения, </w:t>
            </w:r>
            <w:proofErr w:type="gramStart"/>
            <w:r w:rsidRPr="00A7784F">
              <w:rPr>
                <w:sz w:val="22"/>
                <w:szCs w:val="22"/>
              </w:rPr>
              <w:t>учтено</w:t>
            </w:r>
            <w:proofErr w:type="gramEnd"/>
            <w:r w:rsidRPr="00A7784F">
              <w:rPr>
                <w:sz w:val="22"/>
                <w:szCs w:val="22"/>
              </w:rPr>
              <w:t xml:space="preserve">/не учтено (если не учтено, указывается обоснование </w:t>
            </w:r>
            <w:proofErr w:type="spellStart"/>
            <w:r w:rsidRPr="00A7784F">
              <w:rPr>
                <w:sz w:val="22"/>
                <w:szCs w:val="22"/>
              </w:rPr>
              <w:t>неучета</w:t>
            </w:r>
            <w:proofErr w:type="spellEnd"/>
            <w:r w:rsidRPr="00A7784F">
              <w:rPr>
                <w:sz w:val="22"/>
                <w:szCs w:val="22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424AFF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Предложений в процессе проведения публичных консультаций не поступило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Предложения 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1"/>
        <w:gridCol w:w="2689"/>
        <w:gridCol w:w="1961"/>
      </w:tblGrid>
      <w:tr w:rsidR="009771D2" w:rsidRPr="0011014D" w:rsidTr="008B66B8">
        <w:tc>
          <w:tcPr>
            <w:tcW w:w="5778" w:type="dxa"/>
          </w:tcPr>
          <w:p w:rsidR="004700AC" w:rsidRPr="0011014D" w:rsidRDefault="00DE577C" w:rsidP="00DE577C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                                                                                                        </w:t>
            </w:r>
            <w:r w:rsidR="00E74A2D" w:rsidRPr="0011014D">
              <w:rPr>
                <w:szCs w:val="28"/>
              </w:rPr>
              <w:t xml:space="preserve">городского округа </w:t>
            </w:r>
          </w:p>
        </w:tc>
        <w:tc>
          <w:tcPr>
            <w:tcW w:w="2694" w:type="dxa"/>
            <w:vAlign w:val="bottom"/>
          </w:tcPr>
          <w:p w:rsidR="004700AC" w:rsidRPr="0011014D" w:rsidRDefault="004700AC" w:rsidP="006F1E06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9771D2" w:rsidRPr="0011014D" w:rsidRDefault="00DE577C" w:rsidP="00DE577C">
            <w:pPr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E74A2D" w:rsidRPr="0011014D">
              <w:rPr>
                <w:szCs w:val="28"/>
              </w:rPr>
              <w:t>.</w:t>
            </w:r>
            <w:r>
              <w:rPr>
                <w:szCs w:val="28"/>
              </w:rPr>
              <w:t>Прокудин</w:t>
            </w:r>
          </w:p>
        </w:tc>
      </w:tr>
    </w:tbl>
    <w:p w:rsidR="00AD5041" w:rsidRDefault="00AD5041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Pr="0011014D" w:rsidRDefault="000A391C" w:rsidP="006F1E06">
      <w:pPr>
        <w:jc w:val="both"/>
        <w:rPr>
          <w:szCs w:val="28"/>
        </w:rPr>
      </w:pPr>
    </w:p>
    <w:p w:rsidR="001C4392" w:rsidRPr="0011014D" w:rsidRDefault="00E314F3" w:rsidP="006F1E06">
      <w:pPr>
        <w:rPr>
          <w:szCs w:val="28"/>
        </w:rPr>
      </w:pPr>
      <w:r>
        <w:rPr>
          <w:szCs w:val="28"/>
        </w:rPr>
        <w:t>30</w:t>
      </w:r>
      <w:r w:rsidR="00AD5041" w:rsidRPr="0011014D">
        <w:rPr>
          <w:szCs w:val="28"/>
        </w:rPr>
        <w:t>.</w:t>
      </w:r>
      <w:r w:rsidR="00DE577C">
        <w:rPr>
          <w:szCs w:val="28"/>
        </w:rPr>
        <w:t>06.2020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D7D30"/>
    <w:multiLevelType w:val="hybridMultilevel"/>
    <w:tmpl w:val="8FB21B52"/>
    <w:lvl w:ilvl="0" w:tplc="239C6692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496293D"/>
    <w:multiLevelType w:val="hybridMultilevel"/>
    <w:tmpl w:val="70828918"/>
    <w:lvl w:ilvl="0" w:tplc="052248C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5">
    <w:nsid w:val="7EA95F92"/>
    <w:multiLevelType w:val="hybridMultilevel"/>
    <w:tmpl w:val="64569762"/>
    <w:lvl w:ilvl="0" w:tplc="1B4A5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71D2"/>
    <w:rsid w:val="000049C7"/>
    <w:rsid w:val="00017F93"/>
    <w:rsid w:val="00024A81"/>
    <w:rsid w:val="00045C96"/>
    <w:rsid w:val="00080B83"/>
    <w:rsid w:val="00091852"/>
    <w:rsid w:val="0009278E"/>
    <w:rsid w:val="000A391C"/>
    <w:rsid w:val="000A3F1A"/>
    <w:rsid w:val="000A430F"/>
    <w:rsid w:val="000B3BE7"/>
    <w:rsid w:val="000C07EB"/>
    <w:rsid w:val="000C4587"/>
    <w:rsid w:val="000E0B04"/>
    <w:rsid w:val="000E7EFC"/>
    <w:rsid w:val="000F0394"/>
    <w:rsid w:val="001041DC"/>
    <w:rsid w:val="0011014D"/>
    <w:rsid w:val="00134128"/>
    <w:rsid w:val="0013464D"/>
    <w:rsid w:val="00143AD2"/>
    <w:rsid w:val="0015134C"/>
    <w:rsid w:val="00160A35"/>
    <w:rsid w:val="001679DD"/>
    <w:rsid w:val="001737C4"/>
    <w:rsid w:val="001769BD"/>
    <w:rsid w:val="00193655"/>
    <w:rsid w:val="001A4567"/>
    <w:rsid w:val="001B77A7"/>
    <w:rsid w:val="001C1AA3"/>
    <w:rsid w:val="001C4392"/>
    <w:rsid w:val="001E159A"/>
    <w:rsid w:val="00223F28"/>
    <w:rsid w:val="0022579D"/>
    <w:rsid w:val="0025694D"/>
    <w:rsid w:val="002C71FD"/>
    <w:rsid w:val="002D13AF"/>
    <w:rsid w:val="002D3FFE"/>
    <w:rsid w:val="002E0B09"/>
    <w:rsid w:val="00300819"/>
    <w:rsid w:val="00305384"/>
    <w:rsid w:val="00324627"/>
    <w:rsid w:val="00343C75"/>
    <w:rsid w:val="0034559E"/>
    <w:rsid w:val="0037623F"/>
    <w:rsid w:val="00391F02"/>
    <w:rsid w:val="003A5845"/>
    <w:rsid w:val="003A5C0A"/>
    <w:rsid w:val="003A63B3"/>
    <w:rsid w:val="00422899"/>
    <w:rsid w:val="00424AFF"/>
    <w:rsid w:val="004425B1"/>
    <w:rsid w:val="004700AC"/>
    <w:rsid w:val="00493101"/>
    <w:rsid w:val="004A717B"/>
    <w:rsid w:val="004B0A82"/>
    <w:rsid w:val="004B1BA5"/>
    <w:rsid w:val="004E0631"/>
    <w:rsid w:val="00523417"/>
    <w:rsid w:val="00540339"/>
    <w:rsid w:val="00545B31"/>
    <w:rsid w:val="00563F97"/>
    <w:rsid w:val="00571B83"/>
    <w:rsid w:val="00582DAF"/>
    <w:rsid w:val="005A4435"/>
    <w:rsid w:val="005A7A9D"/>
    <w:rsid w:val="005E51E2"/>
    <w:rsid w:val="005F215E"/>
    <w:rsid w:val="006001A6"/>
    <w:rsid w:val="00610EFC"/>
    <w:rsid w:val="0062024C"/>
    <w:rsid w:val="00647FF6"/>
    <w:rsid w:val="00650C31"/>
    <w:rsid w:val="00685BA8"/>
    <w:rsid w:val="00691D24"/>
    <w:rsid w:val="006C3353"/>
    <w:rsid w:val="006D3358"/>
    <w:rsid w:val="006E319E"/>
    <w:rsid w:val="006F1E06"/>
    <w:rsid w:val="00721821"/>
    <w:rsid w:val="00727686"/>
    <w:rsid w:val="0073451D"/>
    <w:rsid w:val="007361C9"/>
    <w:rsid w:val="00751CAD"/>
    <w:rsid w:val="0077774E"/>
    <w:rsid w:val="00787886"/>
    <w:rsid w:val="007B12CD"/>
    <w:rsid w:val="007C2EE4"/>
    <w:rsid w:val="007D0B92"/>
    <w:rsid w:val="007D161B"/>
    <w:rsid w:val="007F2682"/>
    <w:rsid w:val="00802E30"/>
    <w:rsid w:val="008115E7"/>
    <w:rsid w:val="008461F1"/>
    <w:rsid w:val="00863E0A"/>
    <w:rsid w:val="008A7B1A"/>
    <w:rsid w:val="008B3F01"/>
    <w:rsid w:val="008B66B8"/>
    <w:rsid w:val="008D2282"/>
    <w:rsid w:val="008E2040"/>
    <w:rsid w:val="008E4D4D"/>
    <w:rsid w:val="008F3F0E"/>
    <w:rsid w:val="009035F5"/>
    <w:rsid w:val="00903EA4"/>
    <w:rsid w:val="00915741"/>
    <w:rsid w:val="00916C77"/>
    <w:rsid w:val="009229D0"/>
    <w:rsid w:val="00924BC0"/>
    <w:rsid w:val="00927033"/>
    <w:rsid w:val="009569BD"/>
    <w:rsid w:val="009675F5"/>
    <w:rsid w:val="009771D2"/>
    <w:rsid w:val="009A2667"/>
    <w:rsid w:val="009B0471"/>
    <w:rsid w:val="009B7794"/>
    <w:rsid w:val="009C421B"/>
    <w:rsid w:val="009E488B"/>
    <w:rsid w:val="009E4CAF"/>
    <w:rsid w:val="009F5FD6"/>
    <w:rsid w:val="00A0024D"/>
    <w:rsid w:val="00A02A0F"/>
    <w:rsid w:val="00A06412"/>
    <w:rsid w:val="00A070D8"/>
    <w:rsid w:val="00A16D99"/>
    <w:rsid w:val="00A2488D"/>
    <w:rsid w:val="00A57DD3"/>
    <w:rsid w:val="00A6708E"/>
    <w:rsid w:val="00A7784F"/>
    <w:rsid w:val="00A83EC5"/>
    <w:rsid w:val="00A942F1"/>
    <w:rsid w:val="00A942F2"/>
    <w:rsid w:val="00A95483"/>
    <w:rsid w:val="00AA5365"/>
    <w:rsid w:val="00AC6D17"/>
    <w:rsid w:val="00AD5041"/>
    <w:rsid w:val="00AE1D48"/>
    <w:rsid w:val="00B270B4"/>
    <w:rsid w:val="00B554E9"/>
    <w:rsid w:val="00BE0C87"/>
    <w:rsid w:val="00BF51AD"/>
    <w:rsid w:val="00BF771F"/>
    <w:rsid w:val="00C2385A"/>
    <w:rsid w:val="00C31C06"/>
    <w:rsid w:val="00C35AF3"/>
    <w:rsid w:val="00C64507"/>
    <w:rsid w:val="00CA3E7E"/>
    <w:rsid w:val="00CB77D7"/>
    <w:rsid w:val="00CD6F78"/>
    <w:rsid w:val="00CF65FC"/>
    <w:rsid w:val="00D10AB6"/>
    <w:rsid w:val="00D13E3B"/>
    <w:rsid w:val="00D17B42"/>
    <w:rsid w:val="00D51487"/>
    <w:rsid w:val="00D659B4"/>
    <w:rsid w:val="00D70B06"/>
    <w:rsid w:val="00D71C42"/>
    <w:rsid w:val="00DA5E68"/>
    <w:rsid w:val="00DE0F3F"/>
    <w:rsid w:val="00DE577C"/>
    <w:rsid w:val="00E024B6"/>
    <w:rsid w:val="00E314F3"/>
    <w:rsid w:val="00E54182"/>
    <w:rsid w:val="00E56245"/>
    <w:rsid w:val="00E74A2D"/>
    <w:rsid w:val="00E91413"/>
    <w:rsid w:val="00E97083"/>
    <w:rsid w:val="00EA5452"/>
    <w:rsid w:val="00ED0AA9"/>
    <w:rsid w:val="00ED2561"/>
    <w:rsid w:val="00F0179C"/>
    <w:rsid w:val="00F03E3E"/>
    <w:rsid w:val="00F35794"/>
    <w:rsid w:val="00F46735"/>
    <w:rsid w:val="00F8730C"/>
    <w:rsid w:val="00FA1195"/>
    <w:rsid w:val="00FA5D49"/>
    <w:rsid w:val="00FD4298"/>
    <w:rsid w:val="00FD5AA1"/>
    <w:rsid w:val="00FF3A4E"/>
    <w:rsid w:val="00FF4330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417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57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7D4-DC16-47C4-98DD-03F92C1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67</cp:revision>
  <cp:lastPrinted>2020-07-14T04:30:00Z</cp:lastPrinted>
  <dcterms:created xsi:type="dcterms:W3CDTF">2017-05-18T07:26:00Z</dcterms:created>
  <dcterms:modified xsi:type="dcterms:W3CDTF">2020-07-14T04:46:00Z</dcterms:modified>
</cp:coreProperties>
</file>