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530D49" w:rsidRPr="00530D49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 Думы</w:t>
      </w:r>
      <w:r w:rsidR="00530D49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0C56FF" w:rsidRPr="000C56FF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30D49">
        <w:rPr>
          <w:rFonts w:ascii="Times New Roman" w:hAnsi="Times New Roman" w:cs="Times New Roman"/>
          <w:sz w:val="28"/>
          <w:szCs w:val="28"/>
          <w:u w:val="single"/>
        </w:rPr>
        <w:t xml:space="preserve"> в городском округе Кинель Самарской области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0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0C56FF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C56FF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C56FF" w:rsidRPr="00D62EE3" w:rsidRDefault="00BA4520" w:rsidP="000C56FF">
      <w:pPr>
        <w:ind w:firstLine="709"/>
        <w:contextualSpacing/>
        <w:jc w:val="both"/>
        <w:rPr>
          <w:szCs w:val="28"/>
          <w:u w:val="single"/>
        </w:rPr>
      </w:pPr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bookmarkStart w:id="1" w:name="_Hlk522633690"/>
      <w:r w:rsidR="000C56FF" w:rsidRPr="00D62EE3">
        <w:rPr>
          <w:szCs w:val="28"/>
          <w:u w:val="single"/>
        </w:rPr>
        <w:t>Проект нормативного правового акта</w:t>
      </w:r>
      <w:bookmarkEnd w:id="1"/>
      <w:r w:rsidR="000C56FF" w:rsidRPr="00D62EE3">
        <w:rPr>
          <w:szCs w:val="28"/>
          <w:u w:val="single"/>
        </w:rPr>
        <w:t xml:space="preserve"> разработан в целях исполнения положений </w:t>
      </w:r>
      <w:r w:rsidR="000C56FF">
        <w:rPr>
          <w:szCs w:val="28"/>
          <w:u w:val="single"/>
        </w:rPr>
        <w:t>Ф</w:t>
      </w:r>
      <w:r w:rsidR="000C56FF" w:rsidRPr="00D62EE3">
        <w:rPr>
          <w:szCs w:val="28"/>
          <w:u w:val="single"/>
        </w:rPr>
        <w:t xml:space="preserve">едерального закона от 31.07.2020 г. № 248-ФЗ «О государственном контроле (надзоре) и муниципальном контроле в Российской Федерации», а также с учётом мероприятий, предусмотренных протоколом совещания у </w:t>
      </w:r>
      <w:proofErr w:type="spellStart"/>
      <w:r w:rsidR="000C56FF" w:rsidRPr="00D62EE3">
        <w:rPr>
          <w:szCs w:val="28"/>
          <w:u w:val="single"/>
        </w:rPr>
        <w:t>стас</w:t>
      </w:r>
      <w:proofErr w:type="spellEnd"/>
      <w:r w:rsidR="000C56FF" w:rsidRPr="00D62EE3">
        <w:rPr>
          <w:szCs w:val="28"/>
          <w:u w:val="single"/>
        </w:rPr>
        <w:t xml:space="preserve">-секретаря – заместителя Министра экономического развития Российской Федерации А.И. </w:t>
      </w:r>
      <w:proofErr w:type="spellStart"/>
      <w:r w:rsidR="000C56FF" w:rsidRPr="00D62EE3">
        <w:rPr>
          <w:szCs w:val="28"/>
          <w:u w:val="single"/>
        </w:rPr>
        <w:t>Херсонцева</w:t>
      </w:r>
      <w:proofErr w:type="spellEnd"/>
      <w:r w:rsidR="000C56FF" w:rsidRPr="00D62EE3">
        <w:rPr>
          <w:szCs w:val="28"/>
          <w:u w:val="single"/>
        </w:rPr>
        <w:t xml:space="preserve"> от 24.03.2020 г. № 30-АХ, направленных на совершенствование контрольно-надзорной деятельности, в том числе и на муниципальном уровне, внедрение в широкое применение цифровизации при осуществлении контрольно-надзорной деятельности</w:t>
      </w:r>
    </w:p>
    <w:p w:rsidR="00F22D64" w:rsidRPr="00F22D64" w:rsidRDefault="00F22D64" w:rsidP="00F22D64">
      <w:pPr>
        <w:ind w:firstLine="709"/>
        <w:contextualSpacing/>
        <w:jc w:val="both"/>
        <w:rPr>
          <w:szCs w:val="28"/>
          <w:u w:val="single"/>
        </w:rPr>
      </w:pPr>
    </w:p>
    <w:p w:rsidR="000C56FF" w:rsidRPr="003F01AE" w:rsidRDefault="00880193" w:rsidP="000C56FF">
      <w:pPr>
        <w:ind w:firstLine="720"/>
        <w:contextualSpacing/>
        <w:jc w:val="both"/>
        <w:rPr>
          <w:u w:val="single"/>
        </w:rPr>
      </w:pPr>
      <w:r w:rsidRPr="002B1BB7">
        <w:rPr>
          <w:szCs w:val="28"/>
        </w:rPr>
        <w:t>Предлагаемый способ правового регулирования направлен на</w:t>
      </w:r>
      <w:r w:rsidR="000C56FF" w:rsidRPr="000C56FF">
        <w:rPr>
          <w:u w:val="single"/>
        </w:rPr>
        <w:t xml:space="preserve"> </w:t>
      </w:r>
      <w:r w:rsidR="000C56FF">
        <w:rPr>
          <w:u w:val="single"/>
        </w:rPr>
        <w:t xml:space="preserve">заведение необходимой </w:t>
      </w:r>
      <w:r w:rsidR="000C56FF" w:rsidRPr="003F01AE">
        <w:rPr>
          <w:u w:val="single"/>
        </w:rPr>
        <w:t xml:space="preserve">информации по исполнению плана мероприятий («дорожной карты») по реализации </w:t>
      </w:r>
      <w:bookmarkStart w:id="2" w:name="_Hlk76569095"/>
      <w:r w:rsidR="000C56FF">
        <w:rPr>
          <w:u w:val="single"/>
        </w:rPr>
        <w:t>Ф</w:t>
      </w:r>
      <w:r w:rsidR="000C56FF" w:rsidRPr="003F01AE">
        <w:rPr>
          <w:u w:val="single"/>
        </w:rPr>
        <w:t xml:space="preserve">едерального закона </w:t>
      </w:r>
      <w:r w:rsidR="000C56FF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2"/>
      <w:r w:rsidR="000C56FF" w:rsidRPr="003F01AE">
        <w:rPr>
          <w:szCs w:val="28"/>
          <w:u w:val="single"/>
        </w:rPr>
        <w:t xml:space="preserve"> и </w:t>
      </w:r>
      <w:r w:rsidR="000C56FF">
        <w:rPr>
          <w:szCs w:val="28"/>
          <w:u w:val="single"/>
        </w:rPr>
        <w:t>Ф</w:t>
      </w:r>
      <w:r w:rsidR="000C56FF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0C56FF">
        <w:rPr>
          <w:u w:val="single"/>
        </w:rPr>
        <w:t>, с момента активации Минэкономразвития России такой возможности в личных кабинетах в ИС Мониторинг</w:t>
      </w:r>
      <w:r w:rsidR="000C56FF" w:rsidRPr="003F01AE">
        <w:rPr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 w:rsidRPr="002B1BB7">
        <w:rPr>
          <w:szCs w:val="28"/>
        </w:rPr>
        <w:t xml:space="preserve"> </w:t>
      </w: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14</w:t>
      </w:r>
      <w:r w:rsidR="003A59DC" w:rsidRPr="000C56FF">
        <w:rPr>
          <w:szCs w:val="28"/>
          <w:u w:val="single"/>
        </w:rPr>
        <w:t>.</w:t>
      </w:r>
      <w:r w:rsidR="003A59DC" w:rsidRPr="003A59DC">
        <w:rPr>
          <w:szCs w:val="28"/>
          <w:u w:val="single"/>
        </w:rPr>
        <w:t>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</w:t>
      </w:r>
      <w:r w:rsidR="000C56FF">
        <w:rPr>
          <w:szCs w:val="28"/>
          <w:u w:val="single"/>
        </w:rPr>
        <w:t>21</w:t>
      </w:r>
      <w:r w:rsidR="003A59DC" w:rsidRPr="003A59DC">
        <w:rPr>
          <w:szCs w:val="28"/>
          <w:u w:val="single"/>
        </w:rPr>
        <w:t xml:space="preserve">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27</w:t>
      </w:r>
      <w:r w:rsidR="003A59DC" w:rsidRPr="003A59DC">
        <w:rPr>
          <w:szCs w:val="28"/>
          <w:u w:val="single"/>
        </w:rPr>
        <w:t>.0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.202</w:t>
      </w:r>
      <w:r w:rsidR="000C56FF">
        <w:rPr>
          <w:szCs w:val="28"/>
          <w:u w:val="single"/>
        </w:rPr>
        <w:t>1</w:t>
      </w:r>
      <w:r w:rsidR="003A59DC" w:rsidRPr="003A59DC">
        <w:rPr>
          <w:szCs w:val="28"/>
          <w:u w:val="single"/>
        </w:rPr>
        <w:t xml:space="preserve">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lastRenderedPageBreak/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F22D64" w:rsidRPr="000C56FF" w:rsidRDefault="00BA4520" w:rsidP="00F22D6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D6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 w:rsidRPr="00F22D64">
        <w:rPr>
          <w:rFonts w:ascii="Times New Roman" w:hAnsi="Times New Roman" w:cs="Times New Roman"/>
          <w:sz w:val="28"/>
          <w:szCs w:val="28"/>
        </w:rPr>
        <w:t xml:space="preserve"> </w:t>
      </w:r>
      <w:r w:rsidR="000C56FF" w:rsidRPr="000C56FF">
        <w:rPr>
          <w:rFonts w:ascii="Times New Roman" w:hAnsi="Times New Roman" w:cs="Times New Roman"/>
          <w:sz w:val="28"/>
          <w:szCs w:val="28"/>
          <w:u w:val="single"/>
        </w:rPr>
        <w:t>единая теплоснабжающая организация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4458C4" w:rsidRDefault="00BA4520" w:rsidP="004458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56FF" w:rsidRPr="000C56FF" w:rsidRDefault="00BA4520" w:rsidP="000C56FF">
      <w:pPr>
        <w:ind w:firstLine="709"/>
        <w:contextualSpacing/>
        <w:jc w:val="both"/>
        <w:rPr>
          <w:szCs w:val="28"/>
          <w:u w:val="single"/>
        </w:rPr>
      </w:pPr>
      <w:r w:rsidRPr="004458C4">
        <w:rPr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0C56FF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 xml:space="preserve">на </w:t>
      </w:r>
      <w:r w:rsidR="00530D49">
        <w:rPr>
          <w:szCs w:val="28"/>
          <w:u w:val="single"/>
        </w:rPr>
        <w:t xml:space="preserve">заместителя Главы городского округа Кинель Самарской области по жилищно-коммунальному хозяйству </w:t>
      </w:r>
      <w:r w:rsidR="000C56FF">
        <w:rPr>
          <w:szCs w:val="28"/>
          <w:u w:val="single"/>
        </w:rPr>
        <w:t xml:space="preserve">возлагается новая обязанность по </w:t>
      </w:r>
      <w:r w:rsidR="000C56FF" w:rsidRPr="000C56FF">
        <w:rPr>
          <w:szCs w:val="28"/>
          <w:u w:val="single"/>
        </w:rPr>
        <w:t>осуществлени</w:t>
      </w:r>
      <w:r w:rsidR="000C56FF">
        <w:rPr>
          <w:szCs w:val="28"/>
          <w:u w:val="single"/>
        </w:rPr>
        <w:t>ю</w:t>
      </w:r>
      <w:r w:rsidR="000C56FF" w:rsidRPr="000C56FF">
        <w:rPr>
          <w:szCs w:val="28"/>
          <w:u w:val="single"/>
        </w:rPr>
        <w:t xml:space="preserve"> на территории городского округа Кинель Самарской области </w:t>
      </w:r>
      <w:bookmarkStart w:id="3" w:name="_Hlk77066399"/>
      <w:r w:rsidR="000C56FF" w:rsidRPr="000C56FF">
        <w:rPr>
          <w:szCs w:val="28"/>
          <w:u w:val="single"/>
        </w:rPr>
        <w:t xml:space="preserve">муниципального контроля за соблюдением </w:t>
      </w:r>
      <w:bookmarkStart w:id="4" w:name="_Hlk77065809"/>
      <w:r w:rsidR="000C56FF" w:rsidRPr="000C56FF">
        <w:rPr>
          <w:szCs w:val="28"/>
          <w:u w:val="single"/>
        </w:rPr>
        <w:t>единой теплоснабжающей организацией</w:t>
      </w:r>
      <w:bookmarkEnd w:id="4"/>
      <w:r w:rsidR="000C56FF" w:rsidRPr="000C56FF">
        <w:rPr>
          <w:szCs w:val="28"/>
          <w:u w:val="single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городского округа Кинель Самарской области, требований нормативных правовых актов, в том числе соответствие таких реализуемых мероприятий схеме теплоснабжения</w:t>
      </w:r>
      <w:r w:rsidR="000C56FF">
        <w:rPr>
          <w:szCs w:val="28"/>
          <w:u w:val="single"/>
        </w:rPr>
        <w:t xml:space="preserve"> </w:t>
      </w:r>
      <w:r w:rsidR="000C56FF" w:rsidRPr="000C56FF">
        <w:rPr>
          <w:szCs w:val="28"/>
          <w:u w:val="single"/>
        </w:rPr>
        <w:t xml:space="preserve">с </w:t>
      </w:r>
      <w:bookmarkStart w:id="5" w:name="_Hlk77067461"/>
      <w:r w:rsidR="000C56FF" w:rsidRPr="000C56FF">
        <w:rPr>
          <w:szCs w:val="28"/>
          <w:u w:val="single"/>
        </w:rPr>
        <w:t>размещением информации об исполнении ключевых мероприятий, необходимых для реализации Федерального закона от 31 июля 2020 г. № 248-ФЗ «О государственном контроле (надзоре) и муниципальном контроле в Российской Федерации» в информационной системе ИС Мониторинг.</w:t>
      </w:r>
    </w:p>
    <w:bookmarkEnd w:id="3"/>
    <w:bookmarkEnd w:id="5"/>
    <w:p w:rsid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4458C4">
        <w:rPr>
          <w:rFonts w:ascii="Times New Roman" w:hAnsi="Times New Roman" w:cs="Times New Roman"/>
          <w:sz w:val="28"/>
          <w:szCs w:val="28"/>
        </w:rPr>
        <w:t>положений</w:t>
      </w:r>
      <w:proofErr w:type="gramEnd"/>
      <w:r w:rsidR="002B1BB7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425296" w:rsidRPr="004458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(решения соответствующей проблемы</w:t>
      </w:r>
      <w:proofErr w:type="gramStart"/>
      <w:r w:rsidR="00BA4520" w:rsidRPr="009B0914">
        <w:rPr>
          <w:szCs w:val="28"/>
        </w:rPr>
        <w:t>)</w:t>
      </w:r>
      <w:proofErr w:type="gramEnd"/>
      <w:r w:rsidR="00BA4520" w:rsidRPr="009B0914">
        <w:rPr>
          <w:szCs w:val="28"/>
        </w:rPr>
        <w:t xml:space="preserve">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4458C4" w:rsidRDefault="00530D49" w:rsidP="004458C4">
      <w:pPr>
        <w:autoSpaceDE w:val="0"/>
        <w:autoSpaceDN w:val="0"/>
        <w:adjustRightInd w:val="0"/>
        <w:ind w:firstLine="709"/>
        <w:contextualSpacing/>
        <w:jc w:val="both"/>
        <w:rPr>
          <w:color w:val="0000FF"/>
          <w:szCs w:val="28"/>
        </w:rPr>
      </w:pPr>
      <w:hyperlink w:anchor="Par578" w:history="1">
        <w:r w:rsidR="00BA4520" w:rsidRPr="009B0914">
          <w:rPr>
            <w:color w:val="0000FF"/>
            <w:szCs w:val="28"/>
          </w:rPr>
          <w:t>&lt;1&gt;</w:t>
        </w:r>
      </w:hyperlink>
      <w:bookmarkStart w:id="6" w:name="Par362"/>
      <w:bookmarkEnd w:id="6"/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 xml:space="preserve">3.3. Периодичность мониторинга достижения целей предлагаемого </w:t>
            </w:r>
            <w:r w:rsidRPr="00534E68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C36DF8" w:rsidRDefault="00C36DF8" w:rsidP="00F22D6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C36DF8">
              <w:rPr>
                <w:sz w:val="24"/>
                <w:szCs w:val="24"/>
              </w:rPr>
              <w:lastRenderedPageBreak/>
              <w:t>Исполнение</w:t>
            </w:r>
            <w:r>
              <w:rPr>
                <w:sz w:val="24"/>
                <w:szCs w:val="24"/>
              </w:rPr>
              <w:t xml:space="preserve"> п</w:t>
            </w:r>
            <w:r w:rsidRPr="00C36DF8">
              <w:rPr>
                <w:sz w:val="24"/>
                <w:szCs w:val="24"/>
              </w:rPr>
              <w:t xml:space="preserve">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мероприятий, предусмотренных протоколом совещания у </w:t>
            </w:r>
            <w:proofErr w:type="spellStart"/>
            <w:r w:rsidRPr="00C36DF8">
              <w:rPr>
                <w:sz w:val="24"/>
                <w:szCs w:val="24"/>
              </w:rPr>
              <w:t>стас</w:t>
            </w:r>
            <w:proofErr w:type="spellEnd"/>
            <w:r w:rsidRPr="00C36DF8">
              <w:rPr>
                <w:sz w:val="24"/>
                <w:szCs w:val="24"/>
              </w:rPr>
              <w:t xml:space="preserve">-секретаря – заместителя Министра экономического развития Российской Федерации А.И. </w:t>
            </w:r>
            <w:proofErr w:type="spellStart"/>
            <w:r w:rsidRPr="00C36DF8">
              <w:rPr>
                <w:sz w:val="24"/>
                <w:szCs w:val="24"/>
              </w:rPr>
              <w:t>Херсонцева</w:t>
            </w:r>
            <w:proofErr w:type="spellEnd"/>
            <w:r w:rsidRPr="00C36DF8">
              <w:rPr>
                <w:sz w:val="24"/>
                <w:szCs w:val="24"/>
              </w:rPr>
              <w:t xml:space="preserve"> от 24.03.2020 г. № 30-АХ, направленных на совершенствование контрольно-надзорной деятельности, в том числе и на муниципальном уровне, внедрение в широкое применение цифровизации при осуществлении контрольно-надзорной деятельности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F22D64" w:rsidRPr="00C36DF8" w:rsidRDefault="00BA4520" w:rsidP="00F22D64">
      <w:pPr>
        <w:ind w:firstLine="709"/>
        <w:contextualSpacing/>
        <w:jc w:val="both"/>
        <w:rPr>
          <w:szCs w:val="28"/>
          <w:u w:val="single"/>
        </w:rPr>
      </w:pPr>
      <w:r w:rsidRPr="003A59DC">
        <w:rPr>
          <w:szCs w:val="28"/>
        </w:rPr>
        <w:t>3.</w:t>
      </w:r>
      <w:r w:rsidR="004458C4">
        <w:rPr>
          <w:szCs w:val="28"/>
        </w:rPr>
        <w:t>4</w:t>
      </w:r>
      <w:r w:rsidRPr="003A59DC">
        <w:rPr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szCs w:val="28"/>
        </w:rPr>
        <w:t xml:space="preserve"> </w:t>
      </w:r>
      <w:r w:rsidR="00C36DF8" w:rsidRPr="00C36DF8">
        <w:rPr>
          <w:szCs w:val="28"/>
          <w:u w:val="single"/>
        </w:rPr>
        <w:t>Федеральные законы от 31 июля 2020 г. № 248-ФЗ «О государственном контроле (надзоре) и муниципальном контроле в Российской Федерации»</w:t>
      </w:r>
      <w:r w:rsidR="00C36DF8">
        <w:rPr>
          <w:szCs w:val="28"/>
          <w:u w:val="single"/>
        </w:rPr>
        <w:t xml:space="preserve"> и</w:t>
      </w:r>
      <w:r w:rsidR="00C36DF8" w:rsidRPr="00C36DF8">
        <w:rPr>
          <w:szCs w:val="28"/>
          <w:u w:val="single"/>
        </w:rPr>
        <w:t xml:space="preserve"> </w:t>
      </w:r>
      <w:bookmarkStart w:id="7" w:name="_Hlk77066213"/>
      <w:r w:rsidR="00C36DF8" w:rsidRPr="00C36DF8">
        <w:rPr>
          <w:szCs w:val="28"/>
          <w:u w:val="single"/>
        </w:rPr>
        <w:t>от 31 июля 2020 г. № 247-ФЗ «Об обязательных требованиях в Российской Федерации»</w:t>
      </w:r>
      <w:bookmarkEnd w:id="7"/>
    </w:p>
    <w:p w:rsidR="00BA4520" w:rsidRPr="003A59DC" w:rsidRDefault="00530D49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3A59D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C36DF8" w:rsidP="00F22D6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C36DF8">
              <w:rPr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п</w:t>
            </w:r>
            <w:r w:rsidRPr="00C36DF8">
              <w:rPr>
                <w:sz w:val="24"/>
                <w:szCs w:val="24"/>
              </w:rPr>
              <w:t xml:space="preserve">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мероприятий, предусмотренных протоколом совещания у </w:t>
            </w:r>
            <w:proofErr w:type="spellStart"/>
            <w:r w:rsidRPr="00C36DF8">
              <w:rPr>
                <w:sz w:val="24"/>
                <w:szCs w:val="24"/>
              </w:rPr>
              <w:t>стас</w:t>
            </w:r>
            <w:proofErr w:type="spellEnd"/>
            <w:r w:rsidRPr="00C36DF8">
              <w:rPr>
                <w:sz w:val="24"/>
                <w:szCs w:val="24"/>
              </w:rPr>
              <w:t xml:space="preserve">-секретаря – </w:t>
            </w:r>
            <w:r w:rsidRPr="00C36DF8">
              <w:rPr>
                <w:sz w:val="24"/>
                <w:szCs w:val="24"/>
              </w:rPr>
              <w:lastRenderedPageBreak/>
              <w:t xml:space="preserve">заместителя Министра экономического развития Российской Федерации А.И. </w:t>
            </w:r>
            <w:proofErr w:type="spellStart"/>
            <w:r w:rsidRPr="00C36DF8">
              <w:rPr>
                <w:sz w:val="24"/>
                <w:szCs w:val="24"/>
              </w:rPr>
              <w:t>Херсонцева</w:t>
            </w:r>
            <w:proofErr w:type="spellEnd"/>
            <w:r w:rsidRPr="00C36DF8">
              <w:rPr>
                <w:sz w:val="24"/>
                <w:szCs w:val="24"/>
              </w:rPr>
              <w:t xml:space="preserve"> от 24.03.2020 г. № 30-АХ, направленных на совершенствование контрольно-надзорной деятельности, в том числе и на муниципальном уровне, внедрение в широкое применение цифровизации при осуществлении контрольно-надзорной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 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Par412"/>
            <w:bookmarkEnd w:id="8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F22D64" w:rsidRDefault="00C36DF8" w:rsidP="00F22D6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lastRenderedPageBreak/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04F4" w:rsidRPr="00AB04F4" w:rsidRDefault="00BA4520" w:rsidP="00AB04F4">
      <w:pPr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6.</w:t>
      </w:r>
      <w:r w:rsidR="00E91BF0">
        <w:rPr>
          <w:szCs w:val="28"/>
        </w:rPr>
        <w:t>1</w:t>
      </w:r>
      <w:r w:rsidRPr="009B0914">
        <w:rPr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2B7C53">
        <w:rPr>
          <w:szCs w:val="28"/>
        </w:rPr>
        <w:t xml:space="preserve"> </w:t>
      </w:r>
      <w:r w:rsidRPr="009B0914">
        <w:rPr>
          <w:szCs w:val="28"/>
        </w:rPr>
        <w:t>оценке</w:t>
      </w:r>
      <w:r w:rsidR="00E91BF0">
        <w:rPr>
          <w:szCs w:val="28"/>
        </w:rPr>
        <w:t xml:space="preserve"> </w:t>
      </w:r>
      <w:r w:rsidR="00E91BF0">
        <w:rPr>
          <w:szCs w:val="28"/>
          <w:u w:val="single"/>
        </w:rPr>
        <w:t xml:space="preserve">издержки не выявлены. </w:t>
      </w:r>
      <w:r w:rsidR="00F22D64">
        <w:rPr>
          <w:szCs w:val="28"/>
          <w:u w:val="single"/>
        </w:rPr>
        <w:t xml:space="preserve">Выгода состоит в следующем - </w:t>
      </w:r>
      <w:r w:rsidR="00AB04F4">
        <w:rPr>
          <w:szCs w:val="28"/>
          <w:u w:val="single"/>
        </w:rPr>
        <w:t>п</w:t>
      </w:r>
      <w:r w:rsidR="00AB04F4" w:rsidRPr="00AB04F4">
        <w:rPr>
          <w:szCs w:val="28"/>
          <w:u w:val="single"/>
        </w:rPr>
        <w:t>редлагаемый правовой акт позволит снизить аварийность</w:t>
      </w:r>
      <w:r w:rsidR="00AB04F4">
        <w:rPr>
          <w:szCs w:val="28"/>
          <w:u w:val="single"/>
        </w:rPr>
        <w:t xml:space="preserve"> </w:t>
      </w:r>
      <w:r w:rsidR="00AB04F4" w:rsidRPr="00AB04F4">
        <w:rPr>
          <w:szCs w:val="28"/>
          <w:u w:val="single"/>
        </w:rPr>
        <w:t>на объектах теплоснабжения, обеспечить надежность и энергетическую эффективность системы теплоснабжения.</w:t>
      </w:r>
    </w:p>
    <w:p w:rsidR="00A01FB0" w:rsidRDefault="00BA4520" w:rsidP="00AB04F4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6.</w:t>
      </w:r>
      <w:r w:rsidR="00A01FB0">
        <w:rPr>
          <w:szCs w:val="28"/>
        </w:rPr>
        <w:t>2</w:t>
      </w:r>
      <w:r w:rsidRPr="007929A6">
        <w:rPr>
          <w:szCs w:val="28"/>
        </w:rPr>
        <w:t>. Источники данных</w:t>
      </w:r>
      <w:r w:rsidR="003A673E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 xml:space="preserve">рисков неблагоприятных последствий </w:t>
      </w:r>
      <w:proofErr w:type="gramStart"/>
      <w:r w:rsidRPr="009B0914">
        <w:rPr>
          <w:b/>
          <w:szCs w:val="28"/>
        </w:rPr>
        <w:t>применения  предлагаемого</w:t>
      </w:r>
      <w:proofErr w:type="gramEnd"/>
      <w:r w:rsidRPr="009B0914">
        <w:rPr>
          <w:b/>
          <w:szCs w:val="28"/>
        </w:rPr>
        <w:t xml:space="preserve"> правового регулирования</w:t>
      </w:r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7.</w:t>
      </w:r>
      <w:r w:rsidR="00A01FB0">
        <w:rPr>
          <w:szCs w:val="28"/>
        </w:rPr>
        <w:t>1</w:t>
      </w:r>
      <w:r w:rsidRPr="007929A6">
        <w:rPr>
          <w:szCs w:val="28"/>
        </w:rPr>
        <w:t>. Источники данных</w:t>
      </w:r>
      <w:r w:rsidR="007929A6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 xml:space="preserve">Принятие </w:t>
            </w:r>
            <w:r w:rsidR="00530D49">
              <w:rPr>
                <w:sz w:val="24"/>
                <w:szCs w:val="24"/>
              </w:rPr>
              <w:t xml:space="preserve">решения Думы </w:t>
            </w:r>
            <w:r w:rsidRPr="00A6258E">
              <w:rPr>
                <w:sz w:val="24"/>
                <w:szCs w:val="24"/>
              </w:rPr>
              <w:t xml:space="preserve">городского </w:t>
            </w:r>
            <w:r w:rsidRPr="00AB04F4">
              <w:rPr>
                <w:sz w:val="24"/>
                <w:szCs w:val="24"/>
              </w:rPr>
              <w:t>округа Кинель Самарской области</w:t>
            </w:r>
            <w:r w:rsidR="00881C3B" w:rsidRPr="00AB04F4">
              <w:rPr>
                <w:sz w:val="24"/>
                <w:szCs w:val="24"/>
              </w:rPr>
              <w:t xml:space="preserve"> </w:t>
            </w:r>
            <w:r w:rsidR="00EA6D99" w:rsidRPr="00AB04F4">
              <w:rPr>
                <w:bCs/>
                <w:color w:val="000000"/>
                <w:sz w:val="24"/>
                <w:szCs w:val="24"/>
              </w:rPr>
              <w:t>«</w:t>
            </w:r>
            <w:r w:rsidR="00AB04F4" w:rsidRPr="00AB04F4">
              <w:rPr>
                <w:sz w:val="24"/>
                <w:szCs w:val="24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AF76B5" w:rsidRPr="00AB04F4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8.3. Оценка дополнительных расходов (доходов) потенциальных адресатов регулирования, связанных с введением предлагаемого </w:t>
            </w:r>
            <w:r w:rsidRPr="00A56F75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AB04F4" w:rsidRPr="00AB04F4" w:rsidRDefault="009A0658" w:rsidP="00AB04F4">
      <w:pPr>
        <w:ind w:firstLine="720"/>
        <w:contextualSpacing/>
        <w:jc w:val="both"/>
        <w:rPr>
          <w:szCs w:val="28"/>
          <w:u w:val="single"/>
        </w:rPr>
      </w:pPr>
      <w:r w:rsidRPr="00AB04F4">
        <w:rPr>
          <w:szCs w:val="28"/>
          <w:u w:val="single"/>
        </w:rPr>
        <w:t>Данным проектом постановления предполагается</w:t>
      </w:r>
      <w:r w:rsidR="00AB04F4" w:rsidRPr="00AB04F4">
        <w:rPr>
          <w:szCs w:val="28"/>
          <w:u w:val="single"/>
        </w:rPr>
        <w:t xml:space="preserve"> обеспечить заведение необходимой информации по исполнению плана мероприятий («дорожной карты») по реализации Федерального закона от 31 июля 2020 г. № 248-ФЗ «О государственном контроле (надзоре) и муниципальном контроле в Российской Федерации» и Федерального закона от 31 июля 2020 г. № 247-ФЗ «Об обязательных требованиях в Российской Федерации», с момента активации Минэкономразвития России такой возможности в личных кабинетах в ИС Мониторинг.</w:t>
      </w:r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Необходимость </w:t>
      </w:r>
      <w:r w:rsidR="00AB04F4">
        <w:rPr>
          <w:szCs w:val="28"/>
          <w:u w:val="single"/>
        </w:rPr>
        <w:t xml:space="preserve">принятия правового акта </w:t>
      </w:r>
      <w:r w:rsidRPr="00E91BF0">
        <w:rPr>
          <w:szCs w:val="28"/>
          <w:u w:val="single"/>
        </w:rPr>
        <w:t xml:space="preserve">продиктована принятием новых нормативных правовых актов Российской Федерации. </w:t>
      </w:r>
    </w:p>
    <w:p w:rsidR="00AB04F4" w:rsidRPr="00AB04F4" w:rsidRDefault="00F22D64" w:rsidP="00AB04F4">
      <w:pPr>
        <w:ind w:firstLine="709"/>
        <w:contextualSpacing/>
        <w:jc w:val="both"/>
        <w:rPr>
          <w:szCs w:val="28"/>
          <w:u w:val="single"/>
        </w:rPr>
      </w:pPr>
      <w:r w:rsidRPr="00F22D64">
        <w:rPr>
          <w:szCs w:val="28"/>
          <w:u w:val="single"/>
        </w:rPr>
        <w:t xml:space="preserve">Предлагается в городском округа Кинель </w:t>
      </w:r>
      <w:bookmarkStart w:id="9" w:name="_Hlk528048205"/>
      <w:r w:rsidRPr="00F22D64">
        <w:rPr>
          <w:szCs w:val="28"/>
          <w:u w:val="single"/>
        </w:rPr>
        <w:t xml:space="preserve">установить правовые условия </w:t>
      </w:r>
      <w:r w:rsidR="00AB04F4" w:rsidRPr="00AB04F4">
        <w:rPr>
          <w:szCs w:val="28"/>
          <w:u w:val="single"/>
        </w:rPr>
        <w:t xml:space="preserve">для проведения муниципального контроля за соблюдением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городского округа Кинель Самарской области, требований нормативных правовых актов, в том числе соответствие таких реализуемых мероприятий схеме теплоснабжения. </w:t>
      </w:r>
    </w:p>
    <w:bookmarkEnd w:id="9"/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lastRenderedPageBreak/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7504EF" w:rsidRDefault="00BA4520" w:rsidP="00A01FB0">
      <w:pPr>
        <w:spacing w:before="120" w:after="120"/>
        <w:ind w:firstLine="709"/>
        <w:contextualSpacing/>
        <w:jc w:val="right"/>
        <w:rPr>
          <w:sz w:val="24"/>
          <w:szCs w:val="24"/>
        </w:rPr>
      </w:pPr>
      <w:r w:rsidRPr="007504EF">
        <w:rPr>
          <w:sz w:val="24"/>
          <w:szCs w:val="24"/>
        </w:rPr>
        <w:t>есть (нет)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:rsidR="00A01FB0" w:rsidRPr="00123659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" w:name="_GoBack"/>
      <w:r w:rsidR="00530D49" w:rsidRPr="00530D49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bookmarkEnd w:id="10"/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E91BF0" w:rsidP="000F596A">
            <w:r>
              <w:t xml:space="preserve">А.Н. </w:t>
            </w:r>
            <w:proofErr w:type="spellStart"/>
            <w:r>
              <w:t>Лужнов</w:t>
            </w:r>
            <w:proofErr w:type="spellEnd"/>
          </w:p>
        </w:tc>
      </w:tr>
    </w:tbl>
    <w:p w:rsidR="00BA4520" w:rsidRPr="00A56F75" w:rsidRDefault="00BA4520" w:rsidP="00BA4520"/>
    <w:p w:rsidR="00BA4520" w:rsidRPr="009B0914" w:rsidRDefault="00BA4520" w:rsidP="00BA4520">
      <w:r w:rsidRPr="00684B4E">
        <w:t>Дата</w:t>
      </w:r>
      <w:r w:rsidR="00AE0B1D" w:rsidRPr="00684B4E">
        <w:t xml:space="preserve"> </w:t>
      </w:r>
      <w:r w:rsidR="00AB04F4">
        <w:t>29</w:t>
      </w:r>
      <w:r w:rsidR="00E91BF0">
        <w:t>.0</w:t>
      </w:r>
      <w:r w:rsidR="00AB04F4">
        <w:t>7</w:t>
      </w:r>
      <w:r w:rsidR="00E91BF0">
        <w:t>.202</w:t>
      </w:r>
      <w:r w:rsidR="00AB04F4">
        <w:t>1</w:t>
      </w:r>
      <w:r w:rsidR="00E91BF0">
        <w:t xml:space="preserve"> 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11" w:name="Par578"/>
      <w:bookmarkEnd w:id="11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12" w:name="Par579"/>
      <w:bookmarkEnd w:id="12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C56FF"/>
    <w:rsid w:val="000F596A"/>
    <w:rsid w:val="00112510"/>
    <w:rsid w:val="00123659"/>
    <w:rsid w:val="00175AA2"/>
    <w:rsid w:val="0020527B"/>
    <w:rsid w:val="00226A62"/>
    <w:rsid w:val="0023536B"/>
    <w:rsid w:val="002428D3"/>
    <w:rsid w:val="00260D4A"/>
    <w:rsid w:val="002A09D3"/>
    <w:rsid w:val="002B1BB7"/>
    <w:rsid w:val="002B7C53"/>
    <w:rsid w:val="002C30B9"/>
    <w:rsid w:val="002F22B1"/>
    <w:rsid w:val="00311CAD"/>
    <w:rsid w:val="00363EC9"/>
    <w:rsid w:val="003A59DC"/>
    <w:rsid w:val="003A673E"/>
    <w:rsid w:val="003B7D60"/>
    <w:rsid w:val="00417106"/>
    <w:rsid w:val="00425296"/>
    <w:rsid w:val="004458C4"/>
    <w:rsid w:val="00485646"/>
    <w:rsid w:val="004F1997"/>
    <w:rsid w:val="00520996"/>
    <w:rsid w:val="00530D49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01FB0"/>
    <w:rsid w:val="00A13570"/>
    <w:rsid w:val="00A21607"/>
    <w:rsid w:val="00A56F75"/>
    <w:rsid w:val="00A6258E"/>
    <w:rsid w:val="00AB04F4"/>
    <w:rsid w:val="00AE0B1D"/>
    <w:rsid w:val="00AF598F"/>
    <w:rsid w:val="00AF73E5"/>
    <w:rsid w:val="00AF76B5"/>
    <w:rsid w:val="00B11F2A"/>
    <w:rsid w:val="00BA4520"/>
    <w:rsid w:val="00BF610A"/>
    <w:rsid w:val="00C36DF8"/>
    <w:rsid w:val="00C82665"/>
    <w:rsid w:val="00CA561D"/>
    <w:rsid w:val="00D76C93"/>
    <w:rsid w:val="00E35F79"/>
    <w:rsid w:val="00E82CD8"/>
    <w:rsid w:val="00E91096"/>
    <w:rsid w:val="00E91BF0"/>
    <w:rsid w:val="00EA6D99"/>
    <w:rsid w:val="00F22D64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EF8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2021-08-25T11:01:00Z</cp:lastPrinted>
  <dcterms:created xsi:type="dcterms:W3CDTF">2017-03-13T06:12:00Z</dcterms:created>
  <dcterms:modified xsi:type="dcterms:W3CDTF">2021-08-25T11:02:00Z</dcterms:modified>
</cp:coreProperties>
</file>