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:rsidTr="00E56984">
        <w:tc>
          <w:tcPr>
            <w:tcW w:w="4077" w:type="dxa"/>
          </w:tcPr>
          <w:p w:rsidR="00E56984" w:rsidRDefault="00E56984" w:rsidP="008C7855">
            <w:pPr>
              <w:jc w:val="center"/>
            </w:pPr>
          </w:p>
        </w:tc>
        <w:tc>
          <w:tcPr>
            <w:tcW w:w="5529" w:type="dxa"/>
          </w:tcPr>
          <w:p w:rsidR="00E56984" w:rsidRDefault="00E56984" w:rsidP="008C7855">
            <w:pPr>
              <w:jc w:val="center"/>
            </w:pPr>
          </w:p>
        </w:tc>
      </w:tr>
    </w:tbl>
    <w:p w:rsidR="00E56984" w:rsidRDefault="00E56984" w:rsidP="008C7855">
      <w:pPr>
        <w:keepNext/>
        <w:jc w:val="center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Отчет</w:t>
      </w:r>
      <w:proofErr w:type="spellEnd"/>
      <w:r>
        <w:rPr>
          <w:b/>
          <w:szCs w:val="28"/>
        </w:rPr>
        <w:br/>
        <w:t>о проведении оценки регулирующего воздействия</w:t>
      </w:r>
    </w:p>
    <w:p w:rsidR="00E56984" w:rsidRDefault="00E56984" w:rsidP="008C7855">
      <w:pPr>
        <w:rPr>
          <w:szCs w:val="28"/>
        </w:rPr>
      </w:pP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Pr="009C69DE">
        <w:rPr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3B27C3" w:rsidRDefault="00E56984" w:rsidP="003B27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3B27C3" w:rsidRPr="00CF1289">
        <w:rPr>
          <w:szCs w:val="28"/>
        </w:rPr>
        <w:t xml:space="preserve">решения Думы городского округа Кинель Самарской области «О внесении изменений в </w:t>
      </w:r>
      <w:r w:rsidR="003B27C3">
        <w:rPr>
          <w:szCs w:val="28"/>
        </w:rPr>
        <w:t>Методику</w:t>
      </w:r>
      <w:r w:rsidR="003B27C3" w:rsidRPr="00CF1289">
        <w:rPr>
          <w:szCs w:val="28"/>
        </w:rPr>
        <w:t xml:space="preserve"> </w:t>
      </w:r>
      <w:proofErr w:type="spellStart"/>
      <w:r w:rsidR="003B27C3" w:rsidRPr="00CF1289">
        <w:rPr>
          <w:szCs w:val="28"/>
        </w:rPr>
        <w:t>расчета</w:t>
      </w:r>
      <w:proofErr w:type="spellEnd"/>
      <w:r w:rsidR="003B27C3" w:rsidRPr="00CF1289">
        <w:rPr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Кинель»</w:t>
      </w:r>
      <w:r w:rsidR="003B27C3">
        <w:rPr>
          <w:szCs w:val="28"/>
        </w:rPr>
        <w:t xml:space="preserve">, </w:t>
      </w:r>
      <w:proofErr w:type="spellStart"/>
      <w:r w:rsidR="003B27C3">
        <w:rPr>
          <w:szCs w:val="28"/>
        </w:rPr>
        <w:t>утвержденную</w:t>
      </w:r>
      <w:proofErr w:type="spellEnd"/>
      <w:r w:rsidR="003B27C3" w:rsidRPr="00CF1289">
        <w:rPr>
          <w:szCs w:val="28"/>
        </w:rPr>
        <w:t xml:space="preserve"> решени</w:t>
      </w:r>
      <w:r w:rsidR="003B27C3">
        <w:rPr>
          <w:szCs w:val="28"/>
        </w:rPr>
        <w:t>ем</w:t>
      </w:r>
      <w:r w:rsidR="003B27C3" w:rsidRPr="00CF1289">
        <w:rPr>
          <w:szCs w:val="28"/>
        </w:rPr>
        <w:t xml:space="preserve"> Думы городского округа Кинель  от 31 мая 2011 года  № 99</w:t>
      </w:r>
      <w:proofErr w:type="gramEnd"/>
    </w:p>
    <w:p w:rsidR="00E56984" w:rsidRPr="00E56984" w:rsidRDefault="003B27C3" w:rsidP="003B27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1.5. Степень регулирующего воздействия   проекта  муниципального нормативного акта </w:t>
      </w:r>
      <w:r w:rsidR="002C673C">
        <w:rPr>
          <w:szCs w:val="28"/>
        </w:rPr>
        <w:t xml:space="preserve"> - </w:t>
      </w:r>
      <w:r w:rsidR="003B27C3">
        <w:rPr>
          <w:szCs w:val="28"/>
        </w:rPr>
        <w:t>средняя</w:t>
      </w:r>
      <w:r>
        <w:rPr>
          <w:szCs w:val="28"/>
        </w:rPr>
        <w:t>.</w:t>
      </w:r>
    </w:p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начало: «</w:t>
      </w:r>
      <w:r w:rsidR="002C673C">
        <w:rPr>
          <w:szCs w:val="28"/>
        </w:rPr>
        <w:t>1</w:t>
      </w:r>
      <w:r w:rsidR="003B27C3">
        <w:rPr>
          <w:szCs w:val="28"/>
        </w:rPr>
        <w:t>4</w:t>
      </w:r>
      <w:r>
        <w:rPr>
          <w:szCs w:val="28"/>
        </w:rPr>
        <w:t xml:space="preserve">» </w:t>
      </w:r>
      <w:r w:rsidR="002C673C">
        <w:rPr>
          <w:szCs w:val="28"/>
        </w:rPr>
        <w:t>марта 2022</w:t>
      </w:r>
      <w:r>
        <w:rPr>
          <w:szCs w:val="28"/>
        </w:rPr>
        <w:t xml:space="preserve"> г.;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окончание: «</w:t>
      </w:r>
      <w:r w:rsidR="002C673C">
        <w:rPr>
          <w:szCs w:val="28"/>
        </w:rPr>
        <w:t>2</w:t>
      </w:r>
      <w:r w:rsidR="003B27C3">
        <w:rPr>
          <w:szCs w:val="28"/>
        </w:rPr>
        <w:t>5</w:t>
      </w:r>
      <w:r>
        <w:rPr>
          <w:szCs w:val="28"/>
        </w:rPr>
        <w:t xml:space="preserve">» </w:t>
      </w:r>
      <w:r w:rsidR="002C673C">
        <w:rPr>
          <w:szCs w:val="28"/>
        </w:rPr>
        <w:t>марта 2022</w:t>
      </w:r>
      <w:r>
        <w:rPr>
          <w:szCs w:val="28"/>
        </w:rPr>
        <w:t xml:space="preserve"> г</w:t>
      </w:r>
      <w:proofErr w:type="gramStart"/>
      <w:r>
        <w:rPr>
          <w:szCs w:val="28"/>
        </w:rPr>
        <w:t>.</w:t>
      </w:r>
      <w:r w:rsidR="002C673C">
        <w:rPr>
          <w:szCs w:val="28"/>
        </w:rPr>
        <w:t>(</w:t>
      </w:r>
      <w:proofErr w:type="gramEnd"/>
      <w:r w:rsidR="002C673C">
        <w:rPr>
          <w:szCs w:val="28"/>
        </w:rPr>
        <w:t>включительно).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 xml:space="preserve">2. Описание проблемы, на решение которой направлено принятие проекта муниципального нормативного акта, и способа </w:t>
      </w:r>
      <w:proofErr w:type="spellStart"/>
      <w:r>
        <w:rPr>
          <w:b/>
          <w:szCs w:val="28"/>
        </w:rPr>
        <w:t>ее</w:t>
      </w:r>
      <w:proofErr w:type="spellEnd"/>
      <w:r>
        <w:rPr>
          <w:b/>
          <w:szCs w:val="28"/>
        </w:rPr>
        <w:t xml:space="preserve"> разрешения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2.1. Описание проблемы, на решение которой направлен предлагаемый способ правового регулирования, </w:t>
      </w:r>
    </w:p>
    <w:p w:rsidR="002C673C" w:rsidRDefault="002C673C" w:rsidP="008C7855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Проблемой является 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формул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Методике</w:t>
      </w:r>
      <w:r w:rsidRPr="00DA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A7AB7">
        <w:rPr>
          <w:rFonts w:ascii="Times New Roman" w:hAnsi="Times New Roman" w:cs="Times New Roman"/>
          <w:color w:val="000000"/>
          <w:sz w:val="28"/>
          <w:szCs w:val="28"/>
        </w:rPr>
        <w:t>положениями</w:t>
      </w:r>
      <w:r w:rsidRPr="00DA7AB7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года № 135 – ФЗ «О защите конкуренци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7AB7">
        <w:rPr>
          <w:rFonts w:ascii="Times New Roman" w:hAnsi="Times New Roman" w:cs="Times New Roman"/>
          <w:sz w:val="28"/>
          <w:szCs w:val="28"/>
        </w:rPr>
        <w:t xml:space="preserve">»  и </w:t>
      </w:r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а также</w:t>
      </w:r>
      <w:r w:rsidRPr="00DA7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</w:t>
      </w:r>
      <w:r w:rsidRPr="00FF2E7A">
        <w:rPr>
          <w:rFonts w:ascii="Times New Roman" w:hAnsi="Times New Roman" w:cs="Times New Roman"/>
          <w:sz w:val="28"/>
          <w:szCs w:val="28"/>
        </w:rPr>
        <w:t>арендаторов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E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588">
        <w:rPr>
          <w:rFonts w:ascii="Times New Roman" w:hAnsi="Times New Roman" w:cs="Times New Roman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588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1079">
        <w:rPr>
          <w:rFonts w:ascii="Times New Roman" w:hAnsi="Times New Roman" w:cs="Times New Roman"/>
          <w:sz w:val="28"/>
          <w:szCs w:val="28"/>
        </w:rPr>
        <w:t>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2.2. Характеристика   негативных   эффектов, возникающих в связи с наличием проблемы, их количественная оценка</w:t>
      </w:r>
      <w:r w:rsidR="002C673C">
        <w:rPr>
          <w:szCs w:val="28"/>
        </w:rPr>
        <w:t xml:space="preserve"> - </w:t>
      </w:r>
      <w:r>
        <w:rPr>
          <w:szCs w:val="28"/>
        </w:rPr>
        <w:t xml:space="preserve"> </w:t>
      </w:r>
      <w:r w:rsidR="002C673C">
        <w:rPr>
          <w:szCs w:val="28"/>
        </w:rPr>
        <w:t>отсутствуют.</w:t>
      </w:r>
      <w:r>
        <w:rPr>
          <w:szCs w:val="28"/>
        </w:rPr>
        <w:t xml:space="preserve">  </w:t>
      </w:r>
    </w:p>
    <w:p w:rsidR="002C673C" w:rsidRPr="002C673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</w:t>
      </w:r>
      <w:proofErr w:type="gramStart"/>
      <w:r w:rsidR="002C673C">
        <w:rPr>
          <w:szCs w:val="28"/>
        </w:rPr>
        <w:t>-</w:t>
      </w:r>
      <w:r w:rsidR="002C673C" w:rsidRPr="002C673C">
        <w:rPr>
          <w:szCs w:val="28"/>
        </w:rPr>
        <w:t>р</w:t>
      </w:r>
      <w:proofErr w:type="gramEnd"/>
      <w:r w:rsidR="002C673C" w:rsidRPr="002C673C">
        <w:rPr>
          <w:szCs w:val="28"/>
        </w:rPr>
        <w:t>ешение указанной проблемы отнесено законодательством к компетенции органов местного самоуправления.</w:t>
      </w:r>
    </w:p>
    <w:p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0" w:name="Par362"/>
      <w:bookmarkEnd w:id="0"/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 xml:space="preserve">3. Определение   целей   предлагаемого   правового    </w:t>
      </w:r>
      <w:r>
        <w:rPr>
          <w:b/>
          <w:szCs w:val="28"/>
        </w:rPr>
        <w:lastRenderedPageBreak/>
        <w:t>регулирования   и индикаторов для оценки их достижения</w:t>
      </w:r>
    </w:p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:rsidR="002C673C" w:rsidRDefault="002C673C" w:rsidP="008C7855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AB7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 xml:space="preserve">дение формул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Методике</w:t>
      </w:r>
      <w:r w:rsidRPr="00DA7AB7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Pr="00DA7AB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положениями  </w:t>
      </w:r>
      <w:r w:rsidRPr="00DA7AB7">
        <w:rPr>
          <w:rFonts w:ascii="Times New Roman" w:hAnsi="Times New Roman" w:cs="Times New Roman"/>
          <w:sz w:val="28"/>
          <w:szCs w:val="28"/>
        </w:rPr>
        <w:t xml:space="preserve">Федерального закона от 26.07.2006 года № 135 – ФЗ «О защите конкуренции»  и </w:t>
      </w:r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 управления имуществом, иных договоров, предусматривающих переход прав  в отношении государственного или муниципального имущества, и перечне видов</w:t>
      </w:r>
      <w:proofErr w:type="gramEnd"/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имущества, в отношении которого заключение указанных договоров может осуществляться </w:t>
      </w:r>
      <w:proofErr w:type="spellStart"/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proofErr w:type="spellEnd"/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торгов в форме конкурса</w:t>
      </w:r>
      <w:proofErr w:type="gramStart"/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– Приказ);</w:t>
      </w:r>
    </w:p>
    <w:p w:rsidR="002C673C" w:rsidRDefault="002C673C" w:rsidP="008C7855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83C2E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 эффективности</w:t>
      </w:r>
      <w:r w:rsidRPr="00DA7AB7">
        <w:rPr>
          <w:rFonts w:ascii="Times New Roman" w:hAnsi="Times New Roman" w:cs="Times New Roman"/>
          <w:sz w:val="28"/>
          <w:szCs w:val="28"/>
        </w:rPr>
        <w:t xml:space="preserve"> </w:t>
      </w:r>
      <w:r w:rsidRPr="00B83C2E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83C2E">
        <w:rPr>
          <w:rFonts w:ascii="Times New Roman" w:hAnsi="Times New Roman" w:cs="Times New Roman"/>
          <w:sz w:val="28"/>
          <w:szCs w:val="28"/>
        </w:rPr>
        <w:t xml:space="preserve"> имущества, сдаваемого в аренду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r w:rsidRPr="00B83C2E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83C2E">
        <w:rPr>
          <w:rFonts w:ascii="Times New Roman" w:hAnsi="Times New Roman" w:cs="Times New Roman"/>
          <w:sz w:val="28"/>
          <w:szCs w:val="28"/>
        </w:rPr>
        <w:t xml:space="preserve"> индексации арендной платы в редакции</w:t>
      </w:r>
      <w:r w:rsidRPr="00403635">
        <w:rPr>
          <w:rFonts w:ascii="Times New Roman" w:hAnsi="Times New Roman" w:cs="Times New Roman"/>
          <w:sz w:val="28"/>
          <w:szCs w:val="28"/>
        </w:rPr>
        <w:t xml:space="preserve"> </w:t>
      </w:r>
      <w:r w:rsidRPr="00B83C2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19 декабря 2018 г. № 793 «Об утверждении Методики </w:t>
      </w:r>
      <w:proofErr w:type="spellStart"/>
      <w:r w:rsidRPr="00B83C2E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B83C2E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имуществом Самарской области и признании утратившими силу отдельных постановлений Правительства Самарской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984" w:rsidRDefault="002C673C" w:rsidP="008C7855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4A2588">
        <w:rPr>
          <w:szCs w:val="28"/>
        </w:rPr>
        <w:t xml:space="preserve">оддержка </w:t>
      </w:r>
      <w:r>
        <w:rPr>
          <w:szCs w:val="28"/>
        </w:rPr>
        <w:t xml:space="preserve">арендаторов - </w:t>
      </w:r>
      <w:r w:rsidRPr="004A2588">
        <w:rPr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szCs w:val="28"/>
        </w:rPr>
        <w:t>«</w:t>
      </w:r>
      <w:r w:rsidRPr="004A2588">
        <w:rPr>
          <w:szCs w:val="28"/>
        </w:rPr>
        <w:t>Налог на профессиональный доход</w:t>
      </w:r>
      <w:r>
        <w:rPr>
          <w:szCs w:val="28"/>
        </w:rPr>
        <w:t>»</w:t>
      </w:r>
      <w:r w:rsidRPr="00781079">
        <w:rPr>
          <w:szCs w:val="28"/>
        </w:rPr>
        <w:t>.</w:t>
      </w:r>
    </w:p>
    <w:p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:rsidR="00E56984" w:rsidRDefault="007F0F53" w:rsidP="003B27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E56984">
        <w:rPr>
          <w:szCs w:val="28"/>
        </w:rPr>
        <w:t xml:space="preserve"> </w:t>
      </w:r>
      <w:r w:rsidRPr="00B83C2E">
        <w:rPr>
          <w:szCs w:val="28"/>
        </w:rPr>
        <w:t xml:space="preserve">постановление Правительства Самарской области от 19 декабря 2018 г. № 793 «Об утверждении Методики </w:t>
      </w:r>
      <w:proofErr w:type="spellStart"/>
      <w:r w:rsidRPr="00B83C2E">
        <w:rPr>
          <w:szCs w:val="28"/>
        </w:rPr>
        <w:t>расчета</w:t>
      </w:r>
      <w:proofErr w:type="spellEnd"/>
      <w:r w:rsidRPr="00B83C2E">
        <w:rPr>
          <w:szCs w:val="28"/>
        </w:rPr>
        <w:t xml:space="preserve"> размера арендной платы за пользование имуществом Самарской области и признании утратившими силу отдельных постановлений Правительства Самарской области»</w:t>
      </w:r>
      <w:r>
        <w:rPr>
          <w:szCs w:val="28"/>
        </w:rPr>
        <w:t>.</w:t>
      </w:r>
    </w:p>
    <w:p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:rsidR="007F0F53" w:rsidRPr="00D91073" w:rsidRDefault="007F0F53" w:rsidP="008C7855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- о</w:t>
      </w:r>
      <w:r w:rsidRPr="00D91073">
        <w:rPr>
          <w:szCs w:val="28"/>
        </w:rPr>
        <w:t>рганы государственной власти Самарской области, органы местного самоуправления муниципальных образований Самарской области, федеральные органы государственной власти, в том числе органы судебной власти и правоохранительные органы</w:t>
      </w:r>
      <w:r>
        <w:rPr>
          <w:szCs w:val="28"/>
        </w:rPr>
        <w:t>;</w:t>
      </w:r>
    </w:p>
    <w:p w:rsidR="007F0F53" w:rsidRDefault="007F0F53" w:rsidP="008C78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-г</w:t>
      </w:r>
      <w:r w:rsidRPr="00D91073">
        <w:rPr>
          <w:szCs w:val="28"/>
        </w:rPr>
        <w:t xml:space="preserve">осударственные и муниципальные учреждения, другие некоммерческие организации, </w:t>
      </w:r>
      <w:proofErr w:type="spellStart"/>
      <w:r w:rsidRPr="00D91073">
        <w:rPr>
          <w:szCs w:val="28"/>
        </w:rPr>
        <w:t>учрежденные</w:t>
      </w:r>
      <w:proofErr w:type="spellEnd"/>
      <w:r w:rsidRPr="00D91073">
        <w:rPr>
          <w:szCs w:val="28"/>
        </w:rPr>
        <w:t xml:space="preserve"> органами государственной власти, органами местного самоуправления и не осуществляющие деятельность, приносящую доход, то есть не являющиеся хозяйствующими субъектами</w:t>
      </w:r>
      <w:r>
        <w:rPr>
          <w:szCs w:val="28"/>
        </w:rPr>
        <w:t>;</w:t>
      </w:r>
    </w:p>
    <w:p w:rsidR="007F0F53" w:rsidRPr="00D91073" w:rsidRDefault="007F0F53" w:rsidP="008C7855">
      <w:pPr>
        <w:autoSpaceDE w:val="0"/>
        <w:autoSpaceDN w:val="0"/>
        <w:adjustRightInd w:val="0"/>
        <w:jc w:val="both"/>
      </w:pPr>
      <w:proofErr w:type="gramStart"/>
      <w:r>
        <w:rPr>
          <w:szCs w:val="28"/>
        </w:rPr>
        <w:t>- с</w:t>
      </w:r>
      <w:r w:rsidRPr="00D91073">
        <w:rPr>
          <w:szCs w:val="28"/>
        </w:rPr>
        <w:t>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proofErr w:type="gramEnd"/>
    </w:p>
    <w:p w:rsidR="007F0F53" w:rsidRDefault="007F0F53" w:rsidP="008C7855">
      <w:pPr>
        <w:autoSpaceDE w:val="0"/>
        <w:autoSpaceDN w:val="0"/>
        <w:adjustRightInd w:val="0"/>
        <w:jc w:val="both"/>
      </w:pPr>
      <w:r>
        <w:t xml:space="preserve">– прочие </w:t>
      </w:r>
      <w:r w:rsidRPr="002E587B">
        <w:t>юридические лица.</w:t>
      </w:r>
    </w:p>
    <w:p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proofErr w:type="gramStart"/>
      <w:r>
        <w:rPr>
          <w:szCs w:val="28"/>
        </w:rPr>
        <w:t>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   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>
        <w:rPr>
          <w:szCs w:val="28"/>
        </w:rPr>
        <w:t xml:space="preserve"> </w:t>
      </w:r>
      <w:r w:rsidR="00DE77B4" w:rsidRPr="00C572F6">
        <w:rPr>
          <w:szCs w:val="28"/>
        </w:rPr>
        <w:t>предусматрива</w:t>
      </w:r>
      <w:r w:rsidR="00DE77B4">
        <w:rPr>
          <w:szCs w:val="28"/>
        </w:rPr>
        <w:t>ет</w:t>
      </w:r>
      <w:r w:rsidR="00DE77B4" w:rsidRPr="00C572F6">
        <w:rPr>
          <w:szCs w:val="28"/>
        </w:rPr>
        <w:t xml:space="preserve"> ограничения для субъектов предпринимательской и </w:t>
      </w:r>
      <w:r w:rsidR="00DE77B4" w:rsidRPr="00D03C02">
        <w:rPr>
          <w:szCs w:val="28"/>
        </w:rPr>
        <w:t>иной экономической</w:t>
      </w:r>
      <w:r w:rsidR="00DE77B4" w:rsidRPr="00C572F6">
        <w:rPr>
          <w:szCs w:val="28"/>
        </w:rPr>
        <w:t xml:space="preserve"> деятельности, приводящие к увеличению ранее предусмотренных муниципальными нормативными правовыми актами городского округа Кинель Самарской области </w:t>
      </w:r>
      <w:r w:rsidR="00DE77B4">
        <w:rPr>
          <w:szCs w:val="28"/>
        </w:rPr>
        <w:t xml:space="preserve">их </w:t>
      </w:r>
      <w:r w:rsidR="00DE77B4" w:rsidRPr="00C572F6">
        <w:rPr>
          <w:szCs w:val="28"/>
        </w:rPr>
        <w:t>расходов</w:t>
      </w:r>
      <w:r w:rsidR="00DE77B4">
        <w:rPr>
          <w:szCs w:val="28"/>
        </w:rPr>
        <w:t>.</w:t>
      </w:r>
      <w:proofErr w:type="gramEnd"/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1" w:name="Par412"/>
      <w:bookmarkEnd w:id="1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DE77B4">
              <w:rPr>
                <w:sz w:val="24"/>
                <w:szCs w:val="24"/>
              </w:rPr>
              <w:t>г</w:t>
            </w:r>
            <w:proofErr w:type="gramEnd"/>
            <w:r w:rsidRPr="00DE77B4">
              <w:rPr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DE77B4">
              <w:rPr>
                <w:sz w:val="24"/>
                <w:szCs w:val="24"/>
              </w:rPr>
              <w:t>г</w:t>
            </w:r>
            <w:proofErr w:type="gramEnd"/>
            <w:r w:rsidRPr="00DE77B4">
              <w:rPr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Итого единовременные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Итого периодические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Итого возможные доходы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6.1. Риски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</w:t>
            </w:r>
            <w:proofErr w:type="spellStart"/>
            <w:r>
              <w:rPr>
                <w:szCs w:val="28"/>
              </w:rPr>
              <w:t>отчета</w:t>
            </w:r>
            <w:proofErr w:type="spellEnd"/>
            <w:r>
              <w:rPr>
                <w:szCs w:val="28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предложения (не обязательно в порядке </w:t>
            </w:r>
            <w:proofErr w:type="spellStart"/>
            <w:r>
              <w:rPr>
                <w:szCs w:val="28"/>
              </w:rPr>
              <w:t>очередности</w:t>
            </w:r>
            <w:proofErr w:type="spellEnd"/>
            <w:r>
              <w:rPr>
                <w:szCs w:val="28"/>
              </w:rPr>
              <w:t xml:space="preserve">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</w:t>
            </w:r>
            <w:proofErr w:type="spellStart"/>
            <w:r>
              <w:rPr>
                <w:szCs w:val="28"/>
              </w:rPr>
              <w:t>отражен</w:t>
            </w:r>
            <w:proofErr w:type="spellEnd"/>
            <w:r>
              <w:rPr>
                <w:szCs w:val="28"/>
              </w:rPr>
              <w:t xml:space="preserve"> комментарий органа, проводящего ОРВ)</w:t>
            </w:r>
          </w:p>
        </w:tc>
      </w:tr>
      <w:tr w:rsidR="00C514A9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 №2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      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№4 Территориальное объединение работодателей </w:t>
            </w:r>
          </w:p>
          <w:p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9. Иная информация, подлежащая отражению в </w:t>
      </w:r>
      <w:proofErr w:type="spellStart"/>
      <w:r>
        <w:rPr>
          <w:szCs w:val="28"/>
        </w:rPr>
        <w:t>отчете</w:t>
      </w:r>
      <w:proofErr w:type="spellEnd"/>
      <w:r>
        <w:rPr>
          <w:szCs w:val="28"/>
        </w:rPr>
        <w:t xml:space="preserve">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:rsidTr="00E56984">
        <w:tc>
          <w:tcPr>
            <w:tcW w:w="3936" w:type="dxa"/>
            <w:hideMark/>
          </w:tcPr>
          <w:p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</w:p>
        </w:tc>
        <w:tc>
          <w:tcPr>
            <w:tcW w:w="2255" w:type="dxa"/>
            <w:hideMark/>
          </w:tcPr>
          <w:p w:rsidR="008C7855" w:rsidRDefault="008C7855" w:rsidP="008C7855"/>
          <w:p w:rsidR="008C7855" w:rsidRDefault="008C7855" w:rsidP="008C7855"/>
          <w:p w:rsidR="00E56984" w:rsidRDefault="00E56984" w:rsidP="008C7855">
            <w:r>
              <w:t>_____________</w:t>
            </w:r>
          </w:p>
          <w:p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:rsidR="008C7855" w:rsidRDefault="00E56984" w:rsidP="008C7855">
            <w:r>
              <w:t xml:space="preserve">        </w:t>
            </w:r>
          </w:p>
          <w:p w:rsidR="008C7855" w:rsidRDefault="008C7855" w:rsidP="008C7855"/>
          <w:p w:rsidR="00E56984" w:rsidRDefault="008C7855" w:rsidP="008C7855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>
              <w:t>В.Н. Фокин</w:t>
            </w:r>
          </w:p>
        </w:tc>
      </w:tr>
    </w:tbl>
    <w:p w:rsidR="00E56984" w:rsidRDefault="00E56984" w:rsidP="008C7855"/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56984" w:rsidRDefault="00E56984" w:rsidP="008C7855"/>
    <w:p w:rsidR="00E56984" w:rsidRDefault="00E56984" w:rsidP="008C7855"/>
    <w:p w:rsidR="00E56984" w:rsidRDefault="00E56984" w:rsidP="008C7855"/>
    <w:p w:rsidR="00E56984" w:rsidRDefault="00E56984" w:rsidP="008C7855"/>
    <w:p w:rsidR="00AD4F41" w:rsidRDefault="008C7855" w:rsidP="008C7855">
      <w:r>
        <w:t>«__</w:t>
      </w:r>
      <w:r w:rsidR="00A151A3">
        <w:t>28</w:t>
      </w:r>
      <w:r>
        <w:t>__» __</w:t>
      </w:r>
      <w:r w:rsidR="00A151A3">
        <w:t>03</w:t>
      </w:r>
      <w:bookmarkStart w:id="2" w:name="_GoBack"/>
      <w:bookmarkEnd w:id="2"/>
      <w:r>
        <w:t>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136582"/>
    <w:rsid w:val="002279B4"/>
    <w:rsid w:val="002C673C"/>
    <w:rsid w:val="002D7377"/>
    <w:rsid w:val="003B27C3"/>
    <w:rsid w:val="003D3E23"/>
    <w:rsid w:val="004B1B10"/>
    <w:rsid w:val="007F0F53"/>
    <w:rsid w:val="008C7855"/>
    <w:rsid w:val="00A151A3"/>
    <w:rsid w:val="00A57B8F"/>
    <w:rsid w:val="00AD4F41"/>
    <w:rsid w:val="00C514A9"/>
    <w:rsid w:val="00DE77B4"/>
    <w:rsid w:val="00E56984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DD6C-818B-4A55-85D3-D83028F6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Hewlett-Packard Company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7</cp:revision>
  <cp:lastPrinted>2022-03-24T10:27:00Z</cp:lastPrinted>
  <dcterms:created xsi:type="dcterms:W3CDTF">2022-03-22T09:16:00Z</dcterms:created>
  <dcterms:modified xsi:type="dcterms:W3CDTF">2022-03-28T07:18:00Z</dcterms:modified>
</cp:coreProperties>
</file>