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90E4D" w14:textId="77777777" w:rsidR="00A84B1B" w:rsidRDefault="00A84B1B" w:rsidP="00B72AF0">
      <w:pPr>
        <w:tabs>
          <w:tab w:val="num" w:pos="200"/>
        </w:tabs>
        <w:ind w:left="425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4CB6764A" w14:textId="77777777" w:rsidR="0038505F" w:rsidRDefault="00A84B1B" w:rsidP="00B72AF0">
      <w:pPr>
        <w:ind w:left="42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38505F">
        <w:rPr>
          <w:color w:val="000000" w:themeColor="text1"/>
          <w:sz w:val="28"/>
          <w:szCs w:val="28"/>
        </w:rPr>
        <w:t>городского округа Кинель</w:t>
      </w:r>
    </w:p>
    <w:p w14:paraId="0EE4D851" w14:textId="77777777" w:rsidR="00A84B1B" w:rsidRDefault="0038505F" w:rsidP="00B72AF0">
      <w:pPr>
        <w:ind w:left="425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</w:t>
      </w:r>
    </w:p>
    <w:p w14:paraId="7C4B5052" w14:textId="1A024B35" w:rsidR="00A84B1B" w:rsidRDefault="00ED451E" w:rsidP="00B72AF0">
      <w:pPr>
        <w:tabs>
          <w:tab w:val="num" w:pos="200"/>
        </w:tabs>
        <w:ind w:left="425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</w:t>
      </w:r>
      <w:r w:rsidR="002A6408">
        <w:rPr>
          <w:color w:val="000000" w:themeColor="text1"/>
          <w:sz w:val="28"/>
          <w:szCs w:val="28"/>
        </w:rPr>
        <w:t xml:space="preserve">___ </w:t>
      </w:r>
      <w:r w:rsidR="00A84B1B">
        <w:rPr>
          <w:color w:val="000000" w:themeColor="text1"/>
          <w:sz w:val="28"/>
          <w:szCs w:val="28"/>
        </w:rPr>
        <w:t xml:space="preserve">от </w:t>
      </w:r>
      <w:r w:rsidR="002A6408">
        <w:rPr>
          <w:color w:val="000000" w:themeColor="text1"/>
          <w:sz w:val="28"/>
          <w:szCs w:val="28"/>
        </w:rPr>
        <w:t xml:space="preserve"> «</w:t>
      </w:r>
      <w:r w:rsidR="00A84B1B">
        <w:rPr>
          <w:color w:val="000000" w:themeColor="text1"/>
          <w:sz w:val="28"/>
          <w:szCs w:val="28"/>
        </w:rPr>
        <w:t>____</w:t>
      </w:r>
      <w:r w:rsidR="002A6408">
        <w:rPr>
          <w:color w:val="000000" w:themeColor="text1"/>
          <w:sz w:val="28"/>
          <w:szCs w:val="28"/>
        </w:rPr>
        <w:t>»</w:t>
      </w:r>
      <w:r w:rsidR="00A84B1B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__</w:t>
      </w:r>
      <w:r w:rsidR="00A84B1B">
        <w:rPr>
          <w:color w:val="000000" w:themeColor="text1"/>
          <w:sz w:val="28"/>
          <w:szCs w:val="28"/>
        </w:rPr>
        <w:t>_</w:t>
      </w:r>
      <w:r w:rsidR="002A6408">
        <w:rPr>
          <w:color w:val="000000" w:themeColor="text1"/>
          <w:sz w:val="28"/>
          <w:szCs w:val="28"/>
        </w:rPr>
        <w:t>___</w:t>
      </w:r>
      <w:r w:rsidR="00EC1E3D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г.</w:t>
      </w:r>
    </w:p>
    <w:p w14:paraId="70556321" w14:textId="77777777" w:rsidR="00A84B1B" w:rsidRDefault="00A84B1B" w:rsidP="00ED451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16C8E73F" w14:textId="491B309A" w:rsidR="00A84B1B" w:rsidRDefault="00A84B1B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</w:t>
      </w:r>
      <w:r w:rsidR="00B36C1F">
        <w:rPr>
          <w:b/>
          <w:bCs/>
          <w:color w:val="000000" w:themeColor="text1"/>
          <w:sz w:val="28"/>
          <w:szCs w:val="28"/>
        </w:rPr>
        <w:t xml:space="preserve"> </w:t>
      </w:r>
      <w:r w:rsidR="00B14829">
        <w:rPr>
          <w:b/>
          <w:bCs/>
          <w:color w:val="000000" w:themeColor="text1"/>
          <w:sz w:val="28"/>
          <w:szCs w:val="28"/>
        </w:rPr>
        <w:t>земельного</w:t>
      </w:r>
      <w:r w:rsidR="00BB3782">
        <w:rPr>
          <w:b/>
          <w:bCs/>
          <w:color w:val="000000" w:themeColor="text1"/>
          <w:sz w:val="28"/>
          <w:szCs w:val="28"/>
        </w:rPr>
        <w:t xml:space="preserve"> контроля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1A1074">
        <w:rPr>
          <w:b/>
          <w:bCs/>
          <w:color w:val="000000" w:themeColor="text1"/>
          <w:sz w:val="28"/>
          <w:szCs w:val="28"/>
        </w:rPr>
        <w:t>городско</w:t>
      </w:r>
      <w:r w:rsidR="004F5D19">
        <w:rPr>
          <w:b/>
          <w:bCs/>
          <w:color w:val="000000" w:themeColor="text1"/>
          <w:sz w:val="28"/>
          <w:szCs w:val="28"/>
        </w:rPr>
        <w:t>го округа Кинель Самарской обла</w:t>
      </w:r>
      <w:r w:rsidR="001A1074">
        <w:rPr>
          <w:b/>
          <w:bCs/>
          <w:color w:val="000000" w:themeColor="text1"/>
          <w:sz w:val="28"/>
          <w:szCs w:val="28"/>
        </w:rPr>
        <w:t>сти</w:t>
      </w:r>
      <w:r w:rsidR="00B36C1F">
        <w:rPr>
          <w:b/>
          <w:bCs/>
          <w:color w:val="000000" w:themeColor="text1"/>
          <w:sz w:val="28"/>
          <w:szCs w:val="28"/>
        </w:rPr>
        <w:t xml:space="preserve"> </w:t>
      </w:r>
      <w:r w:rsidR="00EC1E3D">
        <w:rPr>
          <w:b/>
          <w:bCs/>
          <w:color w:val="000000" w:themeColor="text1"/>
          <w:sz w:val="28"/>
          <w:szCs w:val="28"/>
        </w:rPr>
        <w:t>на 2026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345C11E9" w14:textId="77777777" w:rsidR="00A84B1B" w:rsidRDefault="00A84B1B" w:rsidP="00ED451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4B27F00F" w14:textId="77777777" w:rsidR="00A84B1B" w:rsidRDefault="00A84B1B" w:rsidP="00ED451E">
      <w:pPr>
        <w:shd w:val="clear" w:color="auto" w:fill="FFFFFF"/>
        <w:rPr>
          <w:color w:val="000000" w:themeColor="text1"/>
          <w:sz w:val="28"/>
          <w:szCs w:val="28"/>
        </w:rPr>
      </w:pPr>
    </w:p>
    <w:p w14:paraId="5631562D" w14:textId="77777777" w:rsidR="00A84B1B" w:rsidRDefault="00A84B1B" w:rsidP="00ED451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DC3D750" w14:textId="77777777" w:rsidR="00A84B1B" w:rsidRPr="00416435" w:rsidRDefault="00A84B1B" w:rsidP="00ED451E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</w:p>
    <w:p w14:paraId="1D27DF2C" w14:textId="77777777" w:rsidR="00A84B1B" w:rsidRDefault="00A84B1B" w:rsidP="0037359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</w:t>
      </w:r>
      <w:r w:rsidR="00416435">
        <w:rPr>
          <w:color w:val="000000" w:themeColor="text1"/>
          <w:sz w:val="28"/>
          <w:szCs w:val="28"/>
        </w:rPr>
        <w:t>ия осуществления вида контроля.</w:t>
      </w:r>
    </w:p>
    <w:p w14:paraId="1DA95CEC" w14:textId="316076A6" w:rsidR="00B14829" w:rsidRDefault="00B14829" w:rsidP="00B14829">
      <w:pPr>
        <w:pStyle w:val="a6"/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Программа профилактики рисков причинения вреда (ущерба) охра</w:t>
      </w:r>
      <w:r w:rsidR="00B72AF0">
        <w:rPr>
          <w:color w:val="000000" w:themeColor="text1"/>
          <w:sz w:val="28"/>
          <w:szCs w:val="28"/>
        </w:rPr>
        <w:t>няемым законом ценностям на 202</w:t>
      </w:r>
      <w:r w:rsidR="00EC1E3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разработана в соответствии с Федеральным законом</w:t>
      </w:r>
      <w:r w:rsidR="00B36C1F">
        <w:rPr>
          <w:color w:val="000000" w:themeColor="text1"/>
          <w:sz w:val="28"/>
          <w:szCs w:val="28"/>
        </w:rPr>
        <w:t xml:space="preserve"> </w:t>
      </w:r>
      <w:r w:rsidRPr="00A1509F">
        <w:rPr>
          <w:color w:val="000000" w:themeColor="text1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</w:t>
      </w:r>
      <w:r w:rsidR="00EC1E3D">
        <w:rPr>
          <w:color w:val="000000" w:themeColor="text1"/>
          <w:sz w:val="28"/>
          <w:szCs w:val="28"/>
        </w:rPr>
        <w:t>едерации от 25 июня 2021 года № </w:t>
      </w:r>
      <w:r w:rsidRPr="00A1509F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A1509F">
        <w:rPr>
          <w:color w:val="000000" w:themeColor="text1"/>
          <w:sz w:val="28"/>
          <w:szCs w:val="28"/>
        </w:rPr>
        <w:t xml:space="preserve"> законом ценностям»</w:t>
      </w:r>
      <w:r>
        <w:rPr>
          <w:color w:val="000000" w:themeColor="text1"/>
          <w:sz w:val="28"/>
          <w:szCs w:val="28"/>
        </w:rPr>
        <w:t xml:space="preserve">, </w:t>
      </w:r>
      <w:r w:rsidRPr="00BB3782">
        <w:rPr>
          <w:color w:val="000000"/>
          <w:sz w:val="28"/>
          <w:szCs w:val="28"/>
        </w:rPr>
        <w:t xml:space="preserve">Положением о муниципальном </w:t>
      </w:r>
      <w:r>
        <w:rPr>
          <w:color w:val="000000"/>
          <w:sz w:val="28"/>
          <w:szCs w:val="28"/>
        </w:rPr>
        <w:t>земельном</w:t>
      </w:r>
      <w:r w:rsidRPr="00BB3782">
        <w:rPr>
          <w:color w:val="000000"/>
          <w:sz w:val="28"/>
          <w:szCs w:val="28"/>
        </w:rPr>
        <w:t xml:space="preserve"> контроле на территории городского округа Кинель Самарской области, утвержденным решением Думы городского округ</w:t>
      </w:r>
      <w:r>
        <w:rPr>
          <w:color w:val="000000"/>
          <w:sz w:val="28"/>
          <w:szCs w:val="28"/>
        </w:rPr>
        <w:t>а Кинель Самарской области от 31марта</w:t>
      </w:r>
      <w:r w:rsidRPr="00BB3782">
        <w:rPr>
          <w:color w:val="000000"/>
          <w:sz w:val="28"/>
          <w:szCs w:val="28"/>
        </w:rPr>
        <w:t xml:space="preserve"> 2</w:t>
      </w:r>
      <w:r w:rsidR="00FE199A">
        <w:rPr>
          <w:color w:val="000000"/>
          <w:sz w:val="28"/>
          <w:szCs w:val="28"/>
        </w:rPr>
        <w:t>022 года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 164.</w:t>
      </w:r>
    </w:p>
    <w:p w14:paraId="055E9D95" w14:textId="2318CE82" w:rsidR="00B14829" w:rsidRDefault="00B14829" w:rsidP="00B14829">
      <w:pPr>
        <w:pStyle w:val="a6"/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уполномоченным структурным подразделением администрации городского округа Кинель Самарской области, </w:t>
      </w:r>
      <w:r>
        <w:rPr>
          <w:color w:val="000000" w:themeColor="text1"/>
          <w:sz w:val="28"/>
          <w:szCs w:val="28"/>
        </w:rPr>
        <w:lastRenderedPageBreak/>
        <w:t>в соответствии с правовым актом администрации городского округа Кинель Самарской области (далее – контрольным орган) на территории городского округа Кинель Самарской области</w:t>
      </w:r>
      <w:proofErr w:type="gramEnd"/>
      <w:r>
        <w:rPr>
          <w:color w:val="000000" w:themeColor="text1"/>
          <w:sz w:val="28"/>
          <w:szCs w:val="28"/>
        </w:rPr>
        <w:t xml:space="preserve"> на 202</w:t>
      </w:r>
      <w:r w:rsidR="00EC1E3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год.</w:t>
      </w:r>
    </w:p>
    <w:p w14:paraId="19D01A6C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актами, соблюдение которых оценивается контрольными органами при организации и осуществлении профилактических мероприятий.</w:t>
      </w:r>
    </w:p>
    <w:p w14:paraId="5F926B0A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Муниципальным земельный контроль на территории городского округа Кинель Самарской области направлен на соблюдение контролируемыми лицами обязательных требований, установленных Земельным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0F213541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  <w:shd w:val="clear" w:color="auto" w:fill="FFFFFF"/>
        </w:rPr>
        <w:t xml:space="preserve">Предметом муниципального земельного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14:paraId="0804B132" w14:textId="77777777" w:rsidR="00B14829" w:rsidRP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муниципальном земельном контроле на территории городского округа Кинель Самарской области контроль осуществляется исключительно за соблюдением:</w:t>
      </w:r>
    </w:p>
    <w:p w14:paraId="370E6F95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3FDB653F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5EC7EB9D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целях;</w:t>
      </w:r>
    </w:p>
    <w:p w14:paraId="36A6DC0C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3A54956C" w14:textId="77777777" w:rsidR="00B14829" w:rsidRPr="00B14829" w:rsidRDefault="00B14829" w:rsidP="00B14829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59F51AA3" w14:textId="77777777" w:rsidR="00B14829" w:rsidRP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14:paraId="2B0BC738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самовольного занятия земель, земельных участков, частей земельных участков;</w:t>
      </w:r>
    </w:p>
    <w:p w14:paraId="7DE66750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B165C34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неиспользования земель, предназначенных для жилищного или иного строительства, садоводства, огородничества, в указанных целях;</w:t>
      </w:r>
    </w:p>
    <w:p w14:paraId="73DBFF58" w14:textId="77777777" w:rsidR="00B14829" w:rsidRPr="00B14829" w:rsidRDefault="00B14829" w:rsidP="00B14829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не приведения земель в состояние, пригодное для использования по целевому назначению.</w:t>
      </w:r>
    </w:p>
    <w:p w14:paraId="59DFC59C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2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самовольного занятия земель, земельных участков, частей земельных участков является стремление извлечь выгоду от использования земельных участков (земель, частей земельных участков) без оформления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них. Зачастую контролируемые лица, допускающие подобное нарушение обязательных требований, не имеют представления о том, что самовольное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является основанием для предъявления требования о неосновательном обогащении в связи с фактическим использованием земли. В рамках профилактических мероприятий соответствующая 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или муниципальной собственности. </w:t>
      </w:r>
    </w:p>
    <w:p w14:paraId="78ACC836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1789B7F4" w14:textId="77777777" w:rsidR="00B14829" w:rsidRDefault="00B14829" w:rsidP="00B14829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14:paraId="1962DAB1" w14:textId="77777777" w:rsidR="00B14829" w:rsidRDefault="00B14829" w:rsidP="00B14829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14:paraId="006C83FC" w14:textId="77777777" w:rsidR="00B14829" w:rsidRDefault="00B14829" w:rsidP="00B14829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незнание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процедур изменения видов разрешенного использования земельного участка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получения разрешения на условно разрешенный вид использования земельного участка.</w:t>
      </w:r>
    </w:p>
    <w:p w14:paraId="5E0FF931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не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огородничества, в указанных целях в течение установленного срока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25D7B1CF" w14:textId="77777777" w:rsidR="00B14829" w:rsidRDefault="00B14829" w:rsidP="00B14829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у собственника (правообладателя) земельного участка средств на целевое использование земельного участка;</w:t>
      </w:r>
    </w:p>
    <w:p w14:paraId="5ECD0B71" w14:textId="77777777" w:rsidR="00B14829" w:rsidRDefault="00B14829" w:rsidP="00B14829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собственника земельного участка продать с наибольшей выгодой соответствующий земельный участок без его целевого использования.   </w:t>
      </w:r>
    </w:p>
    <w:p w14:paraId="7B3CE58F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распространенной причиной </w:t>
      </w:r>
      <w:r w:rsidR="007805C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7805C3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приведен</w:t>
      </w:r>
      <w:r w:rsidR="007805C3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является стремление собственника (правообладателя) земельного участка сэкономить средства, необходимые для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3F9449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способствовали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4289FBE" w14:textId="77777777" w:rsid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реализации 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й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программы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повышенное внимание должно быть уделено контролируемым лицам, владеющим и (или) использующим земельные участки, </w:t>
      </w:r>
      <w:r w:rsidRPr="005F360F">
        <w:rPr>
          <w:rFonts w:ascii="Times New Roman" w:hAnsi="Times New Roman" w:cs="Times New Roman"/>
          <w:bCs/>
          <w:iCs/>
          <w:sz w:val="28"/>
          <w:szCs w:val="28"/>
        </w:rPr>
        <w:t>отнесенные к категориям среднего и умеренного рисков.</w:t>
      </w:r>
    </w:p>
    <w:p w14:paraId="4A0FB661" w14:textId="77777777" w:rsidR="00EC1E3D" w:rsidRDefault="00EC1E3D" w:rsidP="00EC1E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1E3D">
        <w:rPr>
          <w:rFonts w:ascii="Times New Roman" w:hAnsi="Times New Roman" w:cs="Times New Roman"/>
          <w:color w:val="000000"/>
          <w:sz w:val="28"/>
          <w:szCs w:val="28"/>
        </w:rPr>
        <w:t>Согласно вступившему в силу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28 декабря 2024 года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№ 540-ФЗ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Федеральный закон «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 в Российской Федерации»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контрольно-надзорные мероприятия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приоритетно </w:t>
      </w:r>
      <w:r w:rsidRPr="00EC1E3D">
        <w:rPr>
          <w:rFonts w:ascii="Times New Roman" w:hAnsi="Times New Roman" w:cs="Times New Roman"/>
          <w:color w:val="000000"/>
          <w:sz w:val="28"/>
          <w:szCs w:val="28"/>
        </w:rPr>
        <w:t>направлены на обследования земельных участков, находящихся в частной собственности, в отношении которых выявлены факты продолжительного неиспользования согласно целевому назначению, земельные участки заросли сорной растительностью и древесными насаждениями (порослью), что</w:t>
      </w:r>
      <w:proofErr w:type="gramEnd"/>
      <w:r w:rsidRPr="00EC1E3D">
        <w:rPr>
          <w:rFonts w:ascii="Times New Roman" w:hAnsi="Times New Roman" w:cs="Times New Roman"/>
          <w:color w:val="000000"/>
          <w:sz w:val="28"/>
          <w:szCs w:val="28"/>
        </w:rPr>
        <w:t xml:space="preserve"> также доставляет дискомфорт собственникам соседних земельных участков.</w:t>
      </w:r>
    </w:p>
    <w:p w14:paraId="45851317" w14:textId="77777777" w:rsidR="00B14829" w:rsidRPr="00B14829" w:rsidRDefault="00B14829" w:rsidP="00B148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вступлением в силу Постановления Правительства Российской </w:t>
      </w:r>
      <w:r w:rsidRPr="00B14829">
        <w:rPr>
          <w:rFonts w:ascii="Times New Roman" w:hAnsi="Times New Roman" w:cs="Times New Roman"/>
          <w:bCs/>
          <w:iCs/>
          <w:sz w:val="28"/>
          <w:szCs w:val="28"/>
        </w:rPr>
        <w:t xml:space="preserve">Федерации от 10 марта 2022 года № 336 «Об особенностях организации и осуществления государственного контроля (надзора), муниципального контроля» профилактические мероприятия до 2030 года приобрели приоритетный статус. </w:t>
      </w:r>
      <w:r w:rsidRPr="00B1482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14:paraId="1D3A35BF" w14:textId="77777777" w:rsidR="00B14829" w:rsidRDefault="00B14829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4829">
        <w:rPr>
          <w:color w:val="000000" w:themeColor="text1"/>
          <w:sz w:val="28"/>
          <w:szCs w:val="28"/>
        </w:rPr>
        <w:lastRenderedPageBreak/>
        <w:t xml:space="preserve">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городского округа Кинель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</w:t>
      </w:r>
      <w:proofErr w:type="gramStart"/>
      <w:r w:rsidRPr="00B14829">
        <w:rPr>
          <w:color w:val="000000" w:themeColor="text1"/>
          <w:sz w:val="28"/>
          <w:szCs w:val="28"/>
        </w:rPr>
        <w:t>в</w:t>
      </w:r>
      <w:proofErr w:type="gramEnd"/>
      <w:r w:rsidRPr="00B14829">
        <w:rPr>
          <w:color w:val="000000" w:themeColor="text1"/>
          <w:sz w:val="28"/>
          <w:szCs w:val="28"/>
        </w:rPr>
        <w:t xml:space="preserve"> действующие.</w:t>
      </w:r>
    </w:p>
    <w:p w14:paraId="5D2C9270" w14:textId="77777777" w:rsidR="00B72AF0" w:rsidRPr="00B72AF0" w:rsidRDefault="00B72AF0" w:rsidP="00B1482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16"/>
          <w:szCs w:val="16"/>
        </w:rPr>
      </w:pPr>
    </w:p>
    <w:p w14:paraId="11FAB96B" w14:textId="77777777" w:rsidR="00A84B1B" w:rsidRDefault="00A84B1B" w:rsidP="0037359D">
      <w:pPr>
        <w:spacing w:line="360" w:lineRule="auto"/>
        <w:jc w:val="center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5AA7F278" w14:textId="77777777" w:rsidR="00B72AF0" w:rsidRPr="00B72AF0" w:rsidRDefault="00B72AF0" w:rsidP="007805C3">
      <w:pPr>
        <w:spacing w:line="360" w:lineRule="auto"/>
        <w:ind w:firstLine="709"/>
        <w:jc w:val="center"/>
        <w:rPr>
          <w:color w:val="000000"/>
          <w:sz w:val="16"/>
          <w:szCs w:val="16"/>
        </w:rPr>
      </w:pPr>
    </w:p>
    <w:p w14:paraId="780DD310" w14:textId="77777777" w:rsidR="00DF7D82" w:rsidRDefault="00DF7D82" w:rsidP="00DF7D82">
      <w:pPr>
        <w:pStyle w:val="a6"/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Программа реализуется в целях:</w:t>
      </w:r>
    </w:p>
    <w:p w14:paraId="4566F51D" w14:textId="57D47E61" w:rsidR="00DF7D82" w:rsidRPr="00DF7D82" w:rsidRDefault="00DF7D82" w:rsidP="00EC1E3D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обеспечения доступности информации об обязательных требованиях,</w:t>
      </w:r>
      <w:r w:rsidR="00377561">
        <w:rPr>
          <w:color w:val="000000"/>
          <w:sz w:val="28"/>
          <w:szCs w:val="28"/>
        </w:rPr>
        <w:t xml:space="preserve"> </w:t>
      </w:r>
      <w:r w:rsidRPr="00DF7D82">
        <w:rPr>
          <w:color w:val="000000"/>
          <w:sz w:val="28"/>
          <w:szCs w:val="28"/>
        </w:rPr>
        <w:t>требованиях,</w:t>
      </w:r>
      <w:r w:rsidR="00377561">
        <w:rPr>
          <w:color w:val="000000"/>
          <w:sz w:val="28"/>
          <w:szCs w:val="28"/>
        </w:rPr>
        <w:t xml:space="preserve"> </w:t>
      </w:r>
      <w:r w:rsidRPr="00DF7D82">
        <w:rPr>
          <w:color w:val="000000"/>
          <w:sz w:val="28"/>
          <w:szCs w:val="28"/>
        </w:rPr>
        <w:t>установленных</w:t>
      </w:r>
      <w:r w:rsidR="00377561">
        <w:rPr>
          <w:color w:val="000000"/>
          <w:sz w:val="28"/>
          <w:szCs w:val="28"/>
        </w:rPr>
        <w:t xml:space="preserve"> </w:t>
      </w:r>
      <w:r w:rsidRPr="00DF7D82">
        <w:rPr>
          <w:color w:val="000000"/>
          <w:sz w:val="28"/>
          <w:szCs w:val="28"/>
        </w:rPr>
        <w:t>Федеральным</w:t>
      </w:r>
      <w:r w:rsidR="00E927EF">
        <w:rPr>
          <w:color w:val="000000"/>
          <w:sz w:val="28"/>
          <w:szCs w:val="28"/>
        </w:rPr>
        <w:t xml:space="preserve"> и региональным</w:t>
      </w:r>
      <w:r w:rsidRPr="00DF7D82">
        <w:rPr>
          <w:color w:val="000000"/>
          <w:sz w:val="28"/>
          <w:szCs w:val="28"/>
        </w:rPr>
        <w:t xml:space="preserve"> законодательством,</w:t>
      </w:r>
      <w:r w:rsidR="00377561">
        <w:rPr>
          <w:color w:val="000000"/>
          <w:sz w:val="28"/>
          <w:szCs w:val="28"/>
        </w:rPr>
        <w:t xml:space="preserve"> </w:t>
      </w:r>
      <w:r w:rsidRPr="00DF7D82">
        <w:rPr>
          <w:color w:val="000000"/>
          <w:sz w:val="28"/>
          <w:szCs w:val="28"/>
        </w:rPr>
        <w:t>муниципальными правовыми актами;</w:t>
      </w:r>
    </w:p>
    <w:p w14:paraId="19D62D62" w14:textId="0E013299" w:rsidR="00DF7D82" w:rsidRPr="00DF7D82" w:rsidRDefault="00DF7D82" w:rsidP="00EC1E3D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14:paraId="4897C5E5" w14:textId="5EFEC583" w:rsidR="00DF7D82" w:rsidRDefault="00DF7D82" w:rsidP="00EC1E3D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</w:t>
      </w:r>
      <w:r w:rsidR="00B36C1F">
        <w:rPr>
          <w:color w:val="000000"/>
          <w:sz w:val="28"/>
          <w:szCs w:val="28"/>
        </w:rPr>
        <w:t xml:space="preserve"> </w:t>
      </w:r>
      <w:r w:rsidR="006E72FD" w:rsidRPr="006E72FD">
        <w:rPr>
          <w:color w:val="000000"/>
          <w:sz w:val="28"/>
          <w:szCs w:val="28"/>
        </w:rPr>
        <w:t>и (или) причинению вреда (ущерба) охраняемым законом ценностям</w:t>
      </w:r>
      <w:r w:rsidRPr="00DF7D82">
        <w:rPr>
          <w:color w:val="000000"/>
          <w:sz w:val="28"/>
          <w:szCs w:val="28"/>
        </w:rPr>
        <w:t>;</w:t>
      </w:r>
    </w:p>
    <w:p w14:paraId="018FAC00" w14:textId="6EEC19B0" w:rsidR="00DF7D82" w:rsidRPr="00DF7D82" w:rsidRDefault="00DF7D82" w:rsidP="00EC1E3D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D82">
        <w:rPr>
          <w:color w:val="000000"/>
          <w:sz w:val="28"/>
          <w:szCs w:val="28"/>
        </w:rPr>
        <w:t>создание у подконтрольных субъектов мотивации к добросовестному поведению</w:t>
      </w:r>
      <w:r w:rsidR="00B36C1F">
        <w:rPr>
          <w:color w:val="000000"/>
          <w:sz w:val="28"/>
          <w:szCs w:val="28"/>
        </w:rPr>
        <w:t>.</w:t>
      </w:r>
    </w:p>
    <w:p w14:paraId="7FC62C40" w14:textId="77777777" w:rsidR="0063233C" w:rsidRPr="005E2CC8" w:rsidRDefault="0063233C" w:rsidP="00ED45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CC8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14:paraId="709C928D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 xml:space="preserve">анализ </w:t>
      </w:r>
      <w:r w:rsidR="00E927EF" w:rsidRPr="00E927EF">
        <w:rPr>
          <w:color w:val="000000" w:themeColor="text1"/>
          <w:sz w:val="28"/>
          <w:szCs w:val="28"/>
        </w:rPr>
        <w:t>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14:paraId="41AF27FA" w14:textId="77777777" w:rsidR="00BB3782" w:rsidRPr="00E927EF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sz w:val="28"/>
          <w:szCs w:val="28"/>
        </w:rPr>
        <w:t xml:space="preserve">оценка состояния подконтрольной среды (оценка возможной угрозы причинения вреда жизни, здоровью граждан) и установление </w:t>
      </w:r>
      <w:r w:rsidRPr="00BB3782">
        <w:rPr>
          <w:sz w:val="28"/>
          <w:szCs w:val="28"/>
        </w:rPr>
        <w:lastRenderedPageBreak/>
        <w:t xml:space="preserve">зависимости видов и интенсивности профилактических мероприятий с учетом состояния подконтрольной </w:t>
      </w:r>
      <w:r w:rsidRPr="00E927EF">
        <w:rPr>
          <w:color w:val="000000" w:themeColor="text1"/>
          <w:sz w:val="28"/>
          <w:szCs w:val="28"/>
        </w:rPr>
        <w:t>среды;</w:t>
      </w:r>
    </w:p>
    <w:p w14:paraId="779D8C4A" w14:textId="77777777" w:rsidR="00E927EF" w:rsidRPr="00E927EF" w:rsidRDefault="00E927EF" w:rsidP="00E927EF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927EF">
        <w:rPr>
          <w:color w:val="000000" w:themeColor="text1"/>
          <w:sz w:val="28"/>
          <w:szCs w:val="28"/>
        </w:rPr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14:paraId="721BF75A" w14:textId="77777777" w:rsid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BB3782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</w:t>
      </w:r>
      <w:r w:rsidR="00B14829">
        <w:rPr>
          <w:color w:val="000000" w:themeColor="text1"/>
          <w:sz w:val="28"/>
          <w:szCs w:val="28"/>
        </w:rPr>
        <w:t>земельного</w:t>
      </w:r>
      <w:r w:rsidRPr="00BB3782">
        <w:rPr>
          <w:color w:val="000000" w:themeColor="text1"/>
          <w:sz w:val="28"/>
          <w:szCs w:val="28"/>
        </w:rPr>
        <w:t xml:space="preserve"> контроля нарушений обязательных требований</w:t>
      </w:r>
      <w:r w:rsidRPr="00BB3782">
        <w:rPr>
          <w:sz w:val="28"/>
          <w:szCs w:val="28"/>
        </w:rPr>
        <w:t>.</w:t>
      </w:r>
    </w:p>
    <w:p w14:paraId="35ED3D4B" w14:textId="77777777" w:rsidR="00B14829" w:rsidRPr="00BB3782" w:rsidRDefault="00B14829" w:rsidP="00B14829">
      <w:pPr>
        <w:pStyle w:val="a6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сфере земельных отношений, а также формированию единого понимания обязательных требований у всех участников контрольной деятельности.</w:t>
      </w:r>
    </w:p>
    <w:p w14:paraId="69553AFD" w14:textId="77777777" w:rsidR="00A84B1B" w:rsidRPr="00B72AF0" w:rsidRDefault="00A84B1B" w:rsidP="004164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16"/>
          <w:szCs w:val="16"/>
        </w:rPr>
      </w:pPr>
    </w:p>
    <w:p w14:paraId="05C4E676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6DC9FB94" w14:textId="77777777" w:rsidR="00A84B1B" w:rsidRDefault="00A84B1B" w:rsidP="00B36C1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78C55E3D" w14:textId="77777777" w:rsidR="00B72AF0" w:rsidRPr="00B72AF0" w:rsidRDefault="00B72AF0" w:rsidP="00B36C1F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16"/>
          <w:szCs w:val="16"/>
        </w:rPr>
      </w:pPr>
    </w:p>
    <w:p w14:paraId="46BD4591" w14:textId="77777777" w:rsidR="00B14829" w:rsidRDefault="00A84B1B" w:rsidP="00B72AF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963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551"/>
        <w:gridCol w:w="2126"/>
        <w:gridCol w:w="1984"/>
      </w:tblGrid>
      <w:tr w:rsidR="00B3522D" w14:paraId="2242145A" w14:textId="77777777" w:rsidTr="0003128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2ABCF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5FFC3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1B454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FE837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C3675" w14:textId="77777777" w:rsidR="00B3522D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Ответственный </w:t>
            </w:r>
            <w:r w:rsidR="000D15A2" w:rsidRPr="000D15A2">
              <w:rPr>
                <w:color w:val="000000" w:themeColor="text1"/>
                <w:lang w:eastAsia="en-US"/>
              </w:rPr>
              <w:t xml:space="preserve">исполнитель </w:t>
            </w:r>
            <w:r>
              <w:rPr>
                <w:color w:val="000000" w:themeColor="text1"/>
                <w:lang w:eastAsia="en-US"/>
              </w:rPr>
              <w:t xml:space="preserve">за реализацию мероприятия </w:t>
            </w:r>
          </w:p>
        </w:tc>
      </w:tr>
      <w:tr w:rsidR="00BB3782" w14:paraId="76131900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37F42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FA83" w14:textId="77777777" w:rsidR="00BB3782" w:rsidRDefault="00BB3782" w:rsidP="00416435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4768773D" w14:textId="77777777" w:rsidR="00BB3782" w:rsidRDefault="00BB3782" w:rsidP="00416435">
            <w:pPr>
              <w:shd w:val="clear" w:color="auto" w:fill="FFFFFF"/>
              <w:ind w:firstLine="187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3E8C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33D1A" w14:textId="77777777" w:rsidR="00BB3782" w:rsidRPr="00D761C2" w:rsidRDefault="00BB3782" w:rsidP="00E82ECC">
            <w:pPr>
              <w:jc w:val="center"/>
              <w:rPr>
                <w:color w:val="000000" w:themeColor="text1"/>
              </w:rPr>
            </w:pPr>
            <w:r w:rsidRPr="00D761C2">
              <w:rPr>
                <w:color w:val="000000" w:themeColor="text1"/>
              </w:rPr>
              <w:t xml:space="preserve">Ежегодно, </w:t>
            </w:r>
          </w:p>
          <w:p w14:paraId="4FFBE9C8" w14:textId="77777777" w:rsidR="00BB3782" w:rsidRDefault="00BB3782" w:rsidP="00E82ECC">
            <w:pPr>
              <w:jc w:val="center"/>
              <w:rPr>
                <w:color w:val="000000" w:themeColor="text1"/>
                <w:lang w:eastAsia="en-US"/>
              </w:rPr>
            </w:pPr>
            <w:r w:rsidRPr="00D761C2">
              <w:t xml:space="preserve">по мере издания новых нормативно правовых актов или при внесении изменений </w:t>
            </w:r>
            <w:proofErr w:type="gramStart"/>
            <w:r w:rsidRPr="00D761C2">
              <w:t>в</w:t>
            </w:r>
            <w:proofErr w:type="gramEnd"/>
            <w:r w:rsidRPr="00D761C2">
              <w:t xml:space="preserve"> действующие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879C" w14:textId="3439FD0A" w:rsidR="00BB3782" w:rsidRDefault="000D15A2" w:rsidP="00EC1E3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="00BB3782" w:rsidRPr="00BB378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471B4629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1115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24AD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2D6B6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 w:rsidRPr="007805C3">
              <w:rPr>
                <w:color w:val="000000" w:themeColor="text1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40A77" w14:textId="3A08C8AA" w:rsidR="00BB3782" w:rsidRDefault="00BB3782" w:rsidP="00EC1E3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</w:t>
            </w:r>
            <w:r w:rsidR="00EC1E3D">
              <w:rPr>
                <w:color w:val="000000" w:themeColor="text1"/>
                <w:lang w:eastAsia="en-US"/>
              </w:rPr>
              <w:t>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244EE" w14:textId="24E48D3E" w:rsidR="00BB3782" w:rsidRDefault="000D15A2" w:rsidP="00EC1E3D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</w:t>
            </w:r>
            <w:r w:rsidRPr="000D15A2">
              <w:rPr>
                <w:color w:val="000000" w:themeColor="text1"/>
                <w:lang w:eastAsia="en-US"/>
              </w:rPr>
              <w:lastRenderedPageBreak/>
              <w:t xml:space="preserve">и муниципального контроля администрации  </w:t>
            </w:r>
          </w:p>
        </w:tc>
      </w:tr>
      <w:tr w:rsidR="00BB3782" w14:paraId="3E18FEA3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F7BB7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201A" w14:textId="77777777" w:rsidR="00BB3782" w:rsidRDefault="00BB3782" w:rsidP="00B14829">
            <w:pPr>
              <w:jc w:val="center"/>
              <w:rPr>
                <w:color w:val="000000" w:themeColor="text1"/>
                <w:lang w:eastAsia="en-US"/>
              </w:rPr>
            </w:pPr>
            <w:r w:rsidRPr="00BB3782">
              <w:rPr>
                <w:color w:val="000000"/>
                <w:lang w:eastAsia="en-US"/>
              </w:rPr>
              <w:t xml:space="preserve">Обобщение практики осуществления муниципального </w:t>
            </w:r>
            <w:r w:rsidR="00B14829">
              <w:rPr>
                <w:color w:val="000000"/>
                <w:lang w:eastAsia="en-US"/>
              </w:rPr>
              <w:t>земельного</w:t>
            </w:r>
            <w:r w:rsidRPr="00BB3782">
              <w:rPr>
                <w:color w:val="000000"/>
                <w:lang w:eastAsia="en-US"/>
              </w:rPr>
              <w:t xml:space="preserve">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</w:t>
            </w:r>
            <w:r w:rsidR="00B14829">
              <w:rPr>
                <w:color w:val="000000"/>
                <w:lang w:eastAsia="en-US"/>
              </w:rPr>
              <w:t>земельного</w:t>
            </w:r>
            <w:r w:rsidRPr="00BB3782">
              <w:rPr>
                <w:color w:val="000000"/>
                <w:lang w:eastAsia="en-US"/>
              </w:rPr>
              <w:t xml:space="preserve"> контроля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E72C4" w14:textId="77777777" w:rsidR="00BB3782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A3A4" w14:textId="6E22806A" w:rsidR="00BB3782" w:rsidRDefault="00B72AF0" w:rsidP="00EC1E3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1 июня 202</w:t>
            </w:r>
            <w:r w:rsidR="00EC1E3D">
              <w:rPr>
                <w:color w:val="000000" w:themeColor="text1"/>
                <w:lang w:eastAsia="en-US"/>
              </w:rPr>
              <w:t>6</w:t>
            </w:r>
            <w:r w:rsidR="00BB3782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ADA2" w14:textId="39E5EEBC" w:rsidR="00BB3782" w:rsidRDefault="000D15A2" w:rsidP="00EC1E3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0771DBBB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846F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92A2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C1172" w14:textId="77777777" w:rsidR="00BB3782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5E58E" w14:textId="2CE3133B" w:rsidR="00BB3782" w:rsidRDefault="00B72AF0" w:rsidP="00EC1E3D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1 июля 202</w:t>
            </w:r>
            <w:r w:rsidR="00EC1E3D">
              <w:rPr>
                <w:color w:val="000000" w:themeColor="text1"/>
                <w:lang w:eastAsia="en-US"/>
              </w:rPr>
              <w:t>6</w:t>
            </w:r>
            <w:r w:rsidR="00BB3782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59B3" w14:textId="543B6901" w:rsidR="00BB3782" w:rsidRDefault="000D15A2" w:rsidP="00EC1E3D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6C62FA5A" w14:textId="77777777" w:rsidTr="0003128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75526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A5FD5" w14:textId="77777777" w:rsidR="00BB3782" w:rsidRPr="00416435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BB3782">
              <w:rPr>
                <w:color w:val="000000" w:themeColor="text1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</w:t>
            </w:r>
            <w:r w:rsidRPr="00BB3782">
              <w:rPr>
                <w:color w:val="000000" w:themeColor="text1"/>
                <w:lang w:eastAsia="en-US"/>
              </w:rPr>
              <w:lastRenderedPageBreak/>
              <w:t>охраняемым законом ценностям либо создало угрозу причинения вреда (ущерба) охраняемым</w:t>
            </w:r>
            <w:proofErr w:type="gramEnd"/>
            <w:r w:rsidRPr="00BB3782"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3DBA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BF01F" w14:textId="77777777" w:rsidR="00BB3782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="00B36C1F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2AD7B04D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2F93480D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88A" w14:textId="333FEA55" w:rsidR="00BB3782" w:rsidRDefault="000D15A2" w:rsidP="00EC1E3D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645E2D90" w14:textId="77777777" w:rsidTr="00031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B2ED4" w14:textId="77777777" w:rsidR="00BB3782" w:rsidRDefault="00BB3782" w:rsidP="0041643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56A8" w14:textId="77777777" w:rsidR="000B640F" w:rsidRPr="000B640F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</w:t>
            </w:r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или письменной форме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следующим вопросам муниципального </w:t>
            </w:r>
            <w:r w:rsidR="00B1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</w:t>
            </w:r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троля:</w:t>
            </w:r>
          </w:p>
          <w:p w14:paraId="7AF92420" w14:textId="77777777" w:rsidR="000B640F" w:rsidRPr="000B640F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осуществление муниципального </w:t>
            </w:r>
            <w:r w:rsidR="00B1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</w:t>
            </w:r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троля;</w:t>
            </w:r>
          </w:p>
          <w:p w14:paraId="42EBC933" w14:textId="77777777" w:rsidR="000B640F" w:rsidRPr="000B640F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</w:t>
            </w:r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приятий;</w:t>
            </w:r>
          </w:p>
          <w:p w14:paraId="6A9280D1" w14:textId="77777777" w:rsidR="000B640F" w:rsidRPr="000B640F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ностных лиц, уполномоченных осуществлять муниципальный </w:t>
            </w:r>
            <w:r w:rsidR="00B1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</w:t>
            </w:r>
            <w:r w:rsidRPr="000B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троль;</w:t>
            </w:r>
            <w:proofErr w:type="gramEnd"/>
          </w:p>
          <w:p w14:paraId="1164C338" w14:textId="77777777" w:rsidR="00BB3782" w:rsidRPr="00416435" w:rsidRDefault="000B640F" w:rsidP="000B640F">
            <w:pPr>
              <w:jc w:val="center"/>
              <w:rPr>
                <w:color w:val="000000"/>
                <w:lang w:eastAsia="en-US"/>
              </w:rPr>
            </w:pPr>
            <w:r w:rsidRPr="000B640F">
              <w:rPr>
                <w:color w:val="000000" w:themeColor="text1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0765" w14:textId="77777777" w:rsidR="00BB3782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2002958B" w14:textId="77777777" w:rsidR="00BB3782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C5E6" w14:textId="77777777" w:rsidR="00BB3782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</w:t>
            </w:r>
            <w:r>
              <w:rPr>
                <w:color w:val="000000" w:themeColor="text1"/>
                <w:lang w:eastAsia="en-US"/>
              </w:rPr>
              <w:softHyphen/>
              <w:t>гося в консульти</w:t>
            </w:r>
            <w:r>
              <w:rPr>
                <w:color w:val="000000" w:themeColor="text1"/>
                <w:lang w:eastAsia="en-US"/>
              </w:rPr>
              <w:softHyphen/>
              <w:t>ровании</w:t>
            </w:r>
          </w:p>
          <w:p w14:paraId="29C7B836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6DF2B72C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FEBC" w14:textId="3EA66AAF" w:rsidR="00BB3782" w:rsidRDefault="000D15A2" w:rsidP="00EC1E3D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EC1E3D">
              <w:rPr>
                <w:color w:val="000000" w:themeColor="text1"/>
                <w:lang w:eastAsia="en-US"/>
              </w:rPr>
              <w:t>управления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6001A8A5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06E128" w14:textId="77777777" w:rsidR="00BB3782" w:rsidRPr="00B3522D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F867F6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93D8F" w14:textId="77777777" w:rsidR="00BB3782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4DB9" w14:textId="77777777" w:rsidR="00BB3782" w:rsidRPr="00416435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8394" w14:textId="728E29BF" w:rsidR="00BB3782" w:rsidRDefault="000D15A2" w:rsidP="005769FC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>
              <w:rPr>
                <w:color w:val="000000" w:themeColor="text1"/>
                <w:lang w:eastAsia="en-US"/>
              </w:rPr>
              <w:t>управление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BB3782" w14:paraId="2B51294C" w14:textId="77777777" w:rsidTr="00031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AFA0A7" w14:textId="77777777" w:rsidR="00BB3782" w:rsidRPr="00B3522D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B2F0EB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67CD" w14:textId="77777777" w:rsidR="00BB3782" w:rsidRPr="00416435" w:rsidRDefault="000B640F" w:rsidP="00B1482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640F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</w:t>
            </w:r>
            <w:r w:rsidR="00D07EA2">
              <w:rPr>
                <w:color w:val="000000" w:themeColor="text1"/>
                <w:lang w:eastAsia="en-US"/>
              </w:rPr>
              <w:t>Г</w:t>
            </w:r>
            <w:r w:rsidRPr="000B640F">
              <w:rPr>
                <w:color w:val="000000" w:themeColor="text1"/>
                <w:lang w:eastAsia="en-US"/>
              </w:rPr>
              <w:t xml:space="preserve">лавой (заместителем </w:t>
            </w:r>
            <w:r w:rsidR="00D07EA2">
              <w:rPr>
                <w:color w:val="000000" w:themeColor="text1"/>
                <w:lang w:eastAsia="en-US"/>
              </w:rPr>
              <w:t>Г</w:t>
            </w:r>
            <w:r w:rsidRPr="000B640F">
              <w:rPr>
                <w:color w:val="000000" w:themeColor="text1"/>
                <w:lang w:eastAsia="en-US"/>
              </w:rPr>
              <w:t xml:space="preserve">лавы) администрации городского округа Кинель Самарской области или должностным лицом, уполномоченным осуществлять муниципальный </w:t>
            </w:r>
            <w:r w:rsidR="00B14829">
              <w:rPr>
                <w:color w:val="000000" w:themeColor="text1"/>
                <w:lang w:eastAsia="en-US"/>
              </w:rPr>
              <w:t>земельный</w:t>
            </w:r>
            <w:r w:rsidRPr="000B640F">
              <w:rPr>
                <w:color w:val="000000" w:themeColor="text1"/>
                <w:lang w:eastAsia="en-US"/>
              </w:rPr>
              <w:t xml:space="preserve"> контроль (в случае поступления в администрацию пяти и </w:t>
            </w:r>
            <w:r w:rsidRPr="000B640F">
              <w:rPr>
                <w:color w:val="000000" w:themeColor="text1"/>
                <w:lang w:eastAsia="en-US"/>
              </w:rPr>
              <w:lastRenderedPageBreak/>
              <w:t>более однотипных обращений контролируемых лиц и их представителей)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E3D6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D3C63B4" w14:textId="77777777" w:rsidR="00BB3782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DDDD" w14:textId="225256F4" w:rsidR="00BB3782" w:rsidRDefault="000D15A2" w:rsidP="005769FC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>
              <w:rPr>
                <w:color w:val="000000" w:themeColor="text1"/>
                <w:lang w:eastAsia="en-US"/>
              </w:rPr>
              <w:t>управление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0B640F" w14:paraId="5D85B340" w14:textId="77777777" w:rsidTr="0003128D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236C" w14:textId="77777777" w:rsidR="000B640F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C5C5" w14:textId="77777777" w:rsidR="000B640F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8E0BF" w14:textId="77777777" w:rsidR="000B640F" w:rsidRDefault="000B640F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2D27C" w14:textId="77777777" w:rsidR="000B640F" w:rsidRDefault="000B640F" w:rsidP="00B1482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</w:t>
            </w:r>
            <w:r w:rsidR="00B14829">
              <w:rPr>
                <w:color w:val="000000"/>
                <w:lang w:eastAsia="en-US"/>
              </w:rPr>
              <w:t>земельного</w:t>
            </w:r>
            <w:r>
              <w:rPr>
                <w:color w:val="000000"/>
                <w:lang w:eastAsia="en-US"/>
              </w:rPr>
              <w:t xml:space="preserve"> контроля в день проведения собрания (конференции)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A362" w14:textId="35D300CD" w:rsidR="000B640F" w:rsidRDefault="000D15A2" w:rsidP="005769FC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>
              <w:rPr>
                <w:color w:val="000000" w:themeColor="text1"/>
                <w:lang w:eastAsia="en-US"/>
              </w:rPr>
              <w:t>управление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9D4CC4" w14:paraId="3EFA4159" w14:textId="77777777" w:rsidTr="005769FC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A977B" w14:textId="77777777" w:rsidR="009D4CC4" w:rsidRDefault="009D4CC4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45D6" w14:textId="6C03A00D" w:rsidR="005769FC" w:rsidRDefault="009D4CC4" w:rsidP="005769F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Профилактический визит </w:t>
            </w:r>
          </w:p>
          <w:p w14:paraId="1B02B0F5" w14:textId="4EEF40A6" w:rsidR="009D4CC4" w:rsidRDefault="009D4CC4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63D8" w14:textId="77777777" w:rsidR="009D4CC4" w:rsidRDefault="009D4CC4" w:rsidP="009D4CC4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Консультирование контролируемых лиц</w:t>
            </w:r>
            <w:r w:rsidR="00B36C1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посредством проведения профилактического визита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4230" w14:textId="77777777" w:rsidR="009D4CC4" w:rsidRDefault="009D4CC4" w:rsidP="00B1482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1AC9" w14:textId="773067AD" w:rsidR="009D4CC4" w:rsidRPr="000D15A2" w:rsidRDefault="009D4CC4" w:rsidP="005769FC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 w:rsidR="00BF21D8"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 w:rsidR="005769FC">
              <w:rPr>
                <w:color w:val="000000" w:themeColor="text1"/>
                <w:lang w:eastAsia="en-US"/>
              </w:rPr>
              <w:t>управление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  <w:tr w:rsidR="005769FC" w14:paraId="50CAC3AB" w14:textId="77777777" w:rsidTr="0003128D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C528" w14:textId="0DC16292" w:rsidR="005769FC" w:rsidRDefault="005769FC" w:rsidP="0041643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7330" w14:textId="06F16702" w:rsidR="005769FC" w:rsidRDefault="005769FC" w:rsidP="00416435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Обязательных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4E5E" w14:textId="77777777" w:rsidR="005769FC" w:rsidRDefault="005769FC" w:rsidP="005769FC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5769FC">
              <w:rPr>
                <w:color w:val="000000"/>
                <w:lang w:eastAsia="en-US"/>
              </w:rPr>
              <w:t>Обязательный профилактический визит не предусматривает отказ контролируемого лица от его пров</w:t>
            </w:r>
            <w:r>
              <w:rPr>
                <w:color w:val="000000"/>
                <w:lang w:eastAsia="en-US"/>
              </w:rPr>
              <w:t xml:space="preserve">едения. </w:t>
            </w:r>
          </w:p>
          <w:p w14:paraId="70B8C23D" w14:textId="1A3B4215" w:rsidR="005769FC" w:rsidRPr="005769FC" w:rsidRDefault="005769FC" w:rsidP="0037359D">
            <w:pPr>
              <w:pStyle w:val="s1"/>
              <w:shd w:val="clear" w:color="auto" w:fill="FFFFFF"/>
              <w:spacing w:before="0" w:before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Pr="005769FC">
              <w:rPr>
                <w:color w:val="000000"/>
                <w:lang w:eastAsia="en-US"/>
              </w:rPr>
              <w:t xml:space="preserve"> рамках обязательного профилактического визита при необходимости проводит</w:t>
            </w:r>
            <w:r w:rsidR="0037359D">
              <w:rPr>
                <w:color w:val="000000"/>
                <w:lang w:eastAsia="en-US"/>
              </w:rPr>
              <w:t xml:space="preserve">ся </w:t>
            </w:r>
            <w:r w:rsidRPr="005769FC">
              <w:rPr>
                <w:color w:val="000000"/>
                <w:lang w:eastAsia="en-US"/>
              </w:rPr>
              <w:t>осмотр, истребование необходимых документов, отбор проб (образцов), инструментальное обследование, испытание</w:t>
            </w:r>
            <w:r w:rsidR="0037359D">
              <w:rPr>
                <w:color w:val="000000"/>
                <w:lang w:eastAsia="en-US"/>
              </w:rPr>
              <w:t>, экспертиза</w:t>
            </w:r>
            <w:r w:rsidRPr="005769FC">
              <w:rPr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9B23" w14:textId="2AAFCF14" w:rsidR="005769FC" w:rsidRDefault="005769FC" w:rsidP="00B1482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8D04" w14:textId="35A7F1BB" w:rsidR="005769FC" w:rsidRPr="000D15A2" w:rsidRDefault="005769FC" w:rsidP="005769FC">
            <w:pPr>
              <w:jc w:val="center"/>
              <w:rPr>
                <w:color w:val="000000" w:themeColor="text1"/>
                <w:lang w:eastAsia="en-US"/>
              </w:rPr>
            </w:pPr>
            <w:r w:rsidRPr="000D15A2">
              <w:rPr>
                <w:color w:val="000000" w:themeColor="text1"/>
                <w:lang w:eastAsia="en-US"/>
              </w:rPr>
              <w:t>Специалист</w:t>
            </w:r>
            <w:r>
              <w:rPr>
                <w:color w:val="000000" w:themeColor="text1"/>
                <w:lang w:eastAsia="en-US"/>
              </w:rPr>
              <w:t>ы</w:t>
            </w:r>
            <w:r w:rsidRPr="000D15A2">
              <w:rPr>
                <w:color w:val="000000" w:themeColor="text1"/>
                <w:lang w:eastAsia="en-US"/>
              </w:rPr>
              <w:t xml:space="preserve"> по муниципальному земельному контролю </w:t>
            </w:r>
            <w:r>
              <w:rPr>
                <w:color w:val="000000" w:themeColor="text1"/>
                <w:lang w:eastAsia="en-US"/>
              </w:rPr>
              <w:t>управление</w:t>
            </w:r>
            <w:r w:rsidRPr="000D15A2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 </w:t>
            </w:r>
          </w:p>
        </w:tc>
      </w:tr>
    </w:tbl>
    <w:p w14:paraId="21A9D33E" w14:textId="77777777" w:rsidR="00632BBC" w:rsidRDefault="00632BBC" w:rsidP="000B640F">
      <w:pPr>
        <w:spacing w:line="360" w:lineRule="auto"/>
        <w:jc w:val="both"/>
        <w:rPr>
          <w:rFonts w:eastAsiaTheme="minorHAnsi"/>
        </w:rPr>
      </w:pPr>
    </w:p>
    <w:p w14:paraId="6E62D3B4" w14:textId="77777777" w:rsidR="0037359D" w:rsidRDefault="0037359D" w:rsidP="000B640F">
      <w:pPr>
        <w:spacing w:line="360" w:lineRule="auto"/>
        <w:jc w:val="both"/>
        <w:rPr>
          <w:rFonts w:eastAsiaTheme="minorHAnsi"/>
        </w:rPr>
      </w:pPr>
    </w:p>
    <w:p w14:paraId="0B19B82F" w14:textId="77777777" w:rsidR="00B3522D" w:rsidRPr="00416435" w:rsidRDefault="00B3522D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p w14:paraId="74BBA190" w14:textId="77777777" w:rsidR="00632BBC" w:rsidRPr="00416435" w:rsidRDefault="00B3522D" w:rsidP="0041643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определяются в соответствии со следующей таблицей.</w:t>
      </w:r>
    </w:p>
    <w:p w14:paraId="5D31FDE2" w14:textId="77777777" w:rsidR="00B3522D" w:rsidRPr="00416435" w:rsidRDefault="00B3522D" w:rsidP="00ED451E">
      <w:pPr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4394"/>
      </w:tblGrid>
      <w:tr w:rsidR="00B3522D" w14:paraId="68709CFD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A895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208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07F1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522D" w14:paraId="3EC846BD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7A3D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852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351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B3522D" w14:paraId="0E4E97BF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21C" w14:textId="77777777" w:rsidR="00B3522D" w:rsidRDefault="00E82EC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0A7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079E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5A872977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B3522D" w14:paraId="6C1D6837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21DF" w14:textId="77777777" w:rsidR="00B3522D" w:rsidRDefault="00E82ECC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5DA7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A0A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B3522D" w14:paraId="0B81FF8C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E3DE" w14:textId="77777777" w:rsidR="00B3522D" w:rsidRPr="00E82ECC" w:rsidRDefault="00922EFC" w:rsidP="00ED45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  <w:r w:rsidR="00B3522D" w:rsidRPr="00E82ECC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860D" w14:textId="77777777" w:rsidR="00B3522D" w:rsidRPr="00E82ECC" w:rsidRDefault="00E82ECC" w:rsidP="00B148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земельного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88BA" w14:textId="77777777" w:rsidR="00B3522D" w:rsidRPr="00E82ECC" w:rsidRDefault="00E82ECC" w:rsidP="00ED45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 более 10%</w:t>
            </w:r>
          </w:p>
        </w:tc>
      </w:tr>
      <w:tr w:rsidR="00E82ECC" w14:paraId="66A691A2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546" w14:textId="77777777" w:rsidR="00E82ECC" w:rsidRPr="00E82ECC" w:rsidRDefault="00922EFC" w:rsidP="00ED45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  <w:r w:rsidR="00E82ECC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6BC" w14:textId="77777777" w:rsidR="00E82ECC" w:rsidRDefault="00E82ECC" w:rsidP="00B148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F00" w14:textId="77777777" w:rsidR="00E82ECC" w:rsidRDefault="00E82ECC" w:rsidP="00E82E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100%</w:t>
            </w:r>
          </w:p>
        </w:tc>
      </w:tr>
      <w:tr w:rsidR="00E82ECC" w14:paraId="478DA2D7" w14:textId="77777777" w:rsidTr="00B832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D81" w14:textId="77777777" w:rsidR="00E82ECC" w:rsidRDefault="00922EFC" w:rsidP="00ED45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  <w:r w:rsidR="00E82ECC">
              <w:rPr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5AF" w14:textId="77777777" w:rsidR="00E82ECC" w:rsidRDefault="00E82ECC" w:rsidP="00B1482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Информированность контролируемых лиц о вопросах исполнения обязательных требований,  в порядке проведения проверок и правах контролируемых лиц в ходе проведения профилактических визитов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0C6" w14:textId="77777777" w:rsidR="00E82ECC" w:rsidRDefault="00E82ECC" w:rsidP="00E82E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100%</w:t>
            </w:r>
          </w:p>
        </w:tc>
      </w:tr>
    </w:tbl>
    <w:p w14:paraId="1FACF623" w14:textId="77777777" w:rsidR="00B3522D" w:rsidRDefault="00B3522D" w:rsidP="00ED451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496B62FF" w14:textId="77777777" w:rsidR="000B640F" w:rsidRDefault="000B640F" w:rsidP="000B640F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B640F">
        <w:rPr>
          <w:color w:val="000000" w:themeColor="text1"/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="00E82ECC">
        <w:rPr>
          <w:color w:val="000000" w:themeColor="text1"/>
          <w:sz w:val="28"/>
          <w:szCs w:val="28"/>
        </w:rPr>
        <w:t>, в том числе в отношении земельных участков, отнесенных к категории среднего и умеренного риска,</w:t>
      </w:r>
      <w:r w:rsidR="00B36C1F">
        <w:rPr>
          <w:color w:val="000000" w:themeColor="text1"/>
          <w:sz w:val="28"/>
          <w:szCs w:val="28"/>
        </w:rPr>
        <w:t xml:space="preserve"> </w:t>
      </w:r>
      <w:r w:rsidRPr="000B640F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14:paraId="37C1B903" w14:textId="77777777" w:rsidR="00E82ECC" w:rsidRDefault="00E82ECC" w:rsidP="000B640F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Уменьшение количества нарушений обязательных требований, в том числе вследствие использования контролируемыми лицами процедур:</w:t>
      </w:r>
    </w:p>
    <w:p w14:paraId="1DE382E8" w14:textId="77777777" w:rsidR="00E82ECC" w:rsidRPr="00E82ECC" w:rsidRDefault="00E82ECC" w:rsidP="00E82ECC">
      <w:pPr>
        <w:pStyle w:val="a6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E82ECC">
        <w:rPr>
          <w:bCs/>
          <w:iCs/>
          <w:color w:val="000000" w:themeColor="text1"/>
          <w:sz w:val="28"/>
          <w:szCs w:val="28"/>
        </w:rPr>
        <w:lastRenderedPageBreak/>
        <w:t>предоставление земельных участков, находящихся в государственной или муниципальной собственности;</w:t>
      </w:r>
    </w:p>
    <w:p w14:paraId="3C21B774" w14:textId="77777777" w:rsidR="00E82ECC" w:rsidRPr="00E82ECC" w:rsidRDefault="00E82ECC" w:rsidP="00E82ECC">
      <w:pPr>
        <w:pStyle w:val="a6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E82ECC">
        <w:rPr>
          <w:bCs/>
          <w:iCs/>
          <w:color w:val="000000" w:themeColor="text1"/>
          <w:sz w:val="28"/>
          <w:szCs w:val="28"/>
        </w:rPr>
        <w:t>изменения видом разрешенного использования земельного участка;</w:t>
      </w:r>
    </w:p>
    <w:p w14:paraId="7487A751" w14:textId="77777777" w:rsidR="00E82ECC" w:rsidRDefault="00E82ECC" w:rsidP="00E82ECC">
      <w:pPr>
        <w:pStyle w:val="a6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E82ECC">
        <w:rPr>
          <w:bCs/>
          <w:iCs/>
          <w:color w:val="000000" w:themeColor="text1"/>
          <w:sz w:val="28"/>
          <w:szCs w:val="28"/>
        </w:rPr>
        <w:t>получения разрешения на условно разрешенный вид использования земельного участка</w:t>
      </w:r>
      <w:r>
        <w:rPr>
          <w:bCs/>
          <w:iCs/>
          <w:color w:val="000000" w:themeColor="text1"/>
          <w:sz w:val="28"/>
          <w:szCs w:val="28"/>
        </w:rPr>
        <w:t>.</w:t>
      </w:r>
    </w:p>
    <w:p w14:paraId="132AC7E3" w14:textId="77777777" w:rsidR="00E82ECC" w:rsidRPr="00E82ECC" w:rsidRDefault="001C4220" w:rsidP="00E82ECC">
      <w:pPr>
        <w:pStyle w:val="a6"/>
        <w:shd w:val="clear" w:color="auto" w:fill="FFFFFF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Информация о</w:t>
      </w:r>
      <w:r w:rsidR="00D322E5">
        <w:rPr>
          <w:bCs/>
          <w:iCs/>
          <w:color w:val="000000" w:themeColor="text1"/>
          <w:sz w:val="28"/>
          <w:szCs w:val="28"/>
        </w:rPr>
        <w:t>б</w:t>
      </w:r>
      <w:r w:rsidR="00B36C1F">
        <w:rPr>
          <w:bCs/>
          <w:iCs/>
          <w:color w:val="000000" w:themeColor="text1"/>
          <w:sz w:val="28"/>
          <w:szCs w:val="28"/>
        </w:rPr>
        <w:t xml:space="preserve"> </w:t>
      </w:r>
      <w:r w:rsidR="00D322E5">
        <w:rPr>
          <w:bCs/>
          <w:iCs/>
          <w:color w:val="000000" w:themeColor="text1"/>
          <w:sz w:val="28"/>
          <w:szCs w:val="28"/>
        </w:rPr>
        <w:t xml:space="preserve">обязательных требованиях земельного законодательства, </w:t>
      </w:r>
      <w:r w:rsidR="00E82ECC">
        <w:rPr>
          <w:bCs/>
          <w:iCs/>
          <w:color w:val="000000" w:themeColor="text1"/>
          <w:sz w:val="28"/>
          <w:szCs w:val="28"/>
        </w:rPr>
        <w:t>котор</w:t>
      </w:r>
      <w:r w:rsidR="00D322E5">
        <w:rPr>
          <w:bCs/>
          <w:iCs/>
          <w:color w:val="000000" w:themeColor="text1"/>
          <w:sz w:val="28"/>
          <w:szCs w:val="28"/>
        </w:rPr>
        <w:t>ая</w:t>
      </w:r>
      <w:r w:rsidR="00E82ECC">
        <w:rPr>
          <w:bCs/>
          <w:iCs/>
          <w:color w:val="000000" w:themeColor="text1"/>
          <w:sz w:val="28"/>
          <w:szCs w:val="28"/>
        </w:rPr>
        <w:t xml:space="preserve">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</w:t>
      </w:r>
    </w:p>
    <w:p w14:paraId="6B4313DF" w14:textId="77777777" w:rsidR="00B3522D" w:rsidRPr="00153AE6" w:rsidRDefault="00B3522D" w:rsidP="00ED451E">
      <w:pPr>
        <w:rPr>
          <w:rFonts w:eastAsiaTheme="minorHAnsi"/>
          <w:color w:val="000000" w:themeColor="text1"/>
        </w:rPr>
      </w:pPr>
    </w:p>
    <w:p w14:paraId="075E4C00" w14:textId="77777777" w:rsidR="00A84B1B" w:rsidRPr="00F64373" w:rsidRDefault="00A84B1B" w:rsidP="00ED451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A84B1B" w:rsidRPr="00F64373" w:rsidSect="00EC1E3D">
      <w:headerReference w:type="even" r:id="rId8"/>
      <w:headerReference w:type="default" r:id="rId9"/>
      <w:pgSz w:w="11900" w:h="16840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7BCA3" w14:textId="77777777" w:rsidR="005769FC" w:rsidRDefault="005769FC" w:rsidP="0081527A">
      <w:r>
        <w:separator/>
      </w:r>
    </w:p>
  </w:endnote>
  <w:endnote w:type="continuationSeparator" w:id="0">
    <w:p w14:paraId="75EEF141" w14:textId="77777777" w:rsidR="005769FC" w:rsidRDefault="005769FC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A6021" w14:textId="77777777" w:rsidR="005769FC" w:rsidRDefault="005769FC" w:rsidP="0081527A">
      <w:r>
        <w:separator/>
      </w:r>
    </w:p>
  </w:footnote>
  <w:footnote w:type="continuationSeparator" w:id="0">
    <w:p w14:paraId="7BA3BB0C" w14:textId="77777777" w:rsidR="005769FC" w:rsidRDefault="005769FC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196167027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207B3778" w14:textId="77777777" w:rsidR="005769FC" w:rsidRDefault="005769FC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20BACB1" w14:textId="77777777" w:rsidR="005769FC" w:rsidRDefault="005769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55258549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E9AD92F" w14:textId="77777777" w:rsidR="005769FC" w:rsidRDefault="005769FC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FE199A">
          <w:rPr>
            <w:rStyle w:val="ad"/>
            <w:noProof/>
          </w:rPr>
          <w:t>12</w:t>
        </w:r>
        <w:r>
          <w:rPr>
            <w:rStyle w:val="ad"/>
          </w:rPr>
          <w:fldChar w:fldCharType="end"/>
        </w:r>
      </w:p>
    </w:sdtContent>
  </w:sdt>
  <w:p w14:paraId="658A950C" w14:textId="77777777" w:rsidR="005769FC" w:rsidRDefault="005769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B48"/>
    <w:multiLevelType w:val="hybridMultilevel"/>
    <w:tmpl w:val="52E6B4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261606"/>
    <w:multiLevelType w:val="hybridMultilevel"/>
    <w:tmpl w:val="521EC7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4964EE"/>
    <w:multiLevelType w:val="hybridMultilevel"/>
    <w:tmpl w:val="D04ECD8E"/>
    <w:lvl w:ilvl="0" w:tplc="FAC29B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C94F13"/>
    <w:multiLevelType w:val="hybridMultilevel"/>
    <w:tmpl w:val="99C49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FA82655"/>
    <w:multiLevelType w:val="hybridMultilevel"/>
    <w:tmpl w:val="D188CC06"/>
    <w:lvl w:ilvl="0" w:tplc="C0F03438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0F6D91"/>
    <w:multiLevelType w:val="hybridMultilevel"/>
    <w:tmpl w:val="23DE46F6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1F48D3"/>
    <w:multiLevelType w:val="hybridMultilevel"/>
    <w:tmpl w:val="4C8ABB0E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E34FF9"/>
    <w:multiLevelType w:val="hybridMultilevel"/>
    <w:tmpl w:val="8F2AD7D6"/>
    <w:lvl w:ilvl="0" w:tplc="CB482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5259B"/>
    <w:multiLevelType w:val="hybridMultilevel"/>
    <w:tmpl w:val="B0C4DB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EA1AAE"/>
    <w:multiLevelType w:val="hybridMultilevel"/>
    <w:tmpl w:val="909C4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4F0123"/>
    <w:multiLevelType w:val="hybridMultilevel"/>
    <w:tmpl w:val="A5D67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CF2302"/>
    <w:multiLevelType w:val="hybridMultilevel"/>
    <w:tmpl w:val="9618986C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176C7D"/>
    <w:multiLevelType w:val="hybridMultilevel"/>
    <w:tmpl w:val="6B46E572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F94D0A"/>
    <w:multiLevelType w:val="hybridMultilevel"/>
    <w:tmpl w:val="73A883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B10C9B"/>
    <w:multiLevelType w:val="hybridMultilevel"/>
    <w:tmpl w:val="ADAA02CA"/>
    <w:lvl w:ilvl="0" w:tplc="F6A84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6C100E"/>
    <w:multiLevelType w:val="hybridMultilevel"/>
    <w:tmpl w:val="5672E8CE"/>
    <w:lvl w:ilvl="0" w:tplc="CB482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16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14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164B3"/>
    <w:rsid w:val="0003128D"/>
    <w:rsid w:val="000544BD"/>
    <w:rsid w:val="00056EE1"/>
    <w:rsid w:val="00061751"/>
    <w:rsid w:val="00062AB1"/>
    <w:rsid w:val="000716AE"/>
    <w:rsid w:val="00081A36"/>
    <w:rsid w:val="00081AC1"/>
    <w:rsid w:val="000A3583"/>
    <w:rsid w:val="000A6E31"/>
    <w:rsid w:val="000B0616"/>
    <w:rsid w:val="000B35F7"/>
    <w:rsid w:val="000B640F"/>
    <w:rsid w:val="000C1CD1"/>
    <w:rsid w:val="000C57E1"/>
    <w:rsid w:val="000D0A3D"/>
    <w:rsid w:val="000D15A2"/>
    <w:rsid w:val="000D79AF"/>
    <w:rsid w:val="000E1ECC"/>
    <w:rsid w:val="000E38D8"/>
    <w:rsid w:val="000E3B6B"/>
    <w:rsid w:val="000E5824"/>
    <w:rsid w:val="000F259E"/>
    <w:rsid w:val="000F2844"/>
    <w:rsid w:val="000F5FEA"/>
    <w:rsid w:val="00105768"/>
    <w:rsid w:val="001065A5"/>
    <w:rsid w:val="00112A09"/>
    <w:rsid w:val="0012400F"/>
    <w:rsid w:val="00127A9F"/>
    <w:rsid w:val="00131745"/>
    <w:rsid w:val="00136CEC"/>
    <w:rsid w:val="0014020A"/>
    <w:rsid w:val="00153AE6"/>
    <w:rsid w:val="0019698E"/>
    <w:rsid w:val="001A1074"/>
    <w:rsid w:val="001C0881"/>
    <w:rsid w:val="001C1281"/>
    <w:rsid w:val="001C4220"/>
    <w:rsid w:val="001D6226"/>
    <w:rsid w:val="001E7139"/>
    <w:rsid w:val="001F3728"/>
    <w:rsid w:val="001F4F4C"/>
    <w:rsid w:val="001F50C7"/>
    <w:rsid w:val="002160E0"/>
    <w:rsid w:val="00232C12"/>
    <w:rsid w:val="00235B3C"/>
    <w:rsid w:val="00247348"/>
    <w:rsid w:val="00267EDB"/>
    <w:rsid w:val="0027025E"/>
    <w:rsid w:val="00272803"/>
    <w:rsid w:val="00274266"/>
    <w:rsid w:val="00283698"/>
    <w:rsid w:val="00283E98"/>
    <w:rsid w:val="00287CC2"/>
    <w:rsid w:val="002900AE"/>
    <w:rsid w:val="002928E7"/>
    <w:rsid w:val="00292EBD"/>
    <w:rsid w:val="002A4064"/>
    <w:rsid w:val="002A6408"/>
    <w:rsid w:val="002B5E83"/>
    <w:rsid w:val="002D23B1"/>
    <w:rsid w:val="00327C75"/>
    <w:rsid w:val="00330F68"/>
    <w:rsid w:val="003321C4"/>
    <w:rsid w:val="00340DA6"/>
    <w:rsid w:val="00354543"/>
    <w:rsid w:val="00366A25"/>
    <w:rsid w:val="0037359D"/>
    <w:rsid w:val="00377561"/>
    <w:rsid w:val="00380499"/>
    <w:rsid w:val="00381191"/>
    <w:rsid w:val="0038505F"/>
    <w:rsid w:val="00397256"/>
    <w:rsid w:val="003B13DA"/>
    <w:rsid w:val="003B18B6"/>
    <w:rsid w:val="003C62A6"/>
    <w:rsid w:val="003C78A4"/>
    <w:rsid w:val="003D33E0"/>
    <w:rsid w:val="00401DE5"/>
    <w:rsid w:val="00415E5A"/>
    <w:rsid w:val="00416435"/>
    <w:rsid w:val="00446F73"/>
    <w:rsid w:val="004550A0"/>
    <w:rsid w:val="00467A68"/>
    <w:rsid w:val="00470B8C"/>
    <w:rsid w:val="00476FE4"/>
    <w:rsid w:val="00486F4D"/>
    <w:rsid w:val="00486FB4"/>
    <w:rsid w:val="004A2FEC"/>
    <w:rsid w:val="004C6E10"/>
    <w:rsid w:val="004D4E06"/>
    <w:rsid w:val="004E4640"/>
    <w:rsid w:val="004E486B"/>
    <w:rsid w:val="004F5D19"/>
    <w:rsid w:val="005019A3"/>
    <w:rsid w:val="00502A15"/>
    <w:rsid w:val="0050543F"/>
    <w:rsid w:val="00543B47"/>
    <w:rsid w:val="00543BAD"/>
    <w:rsid w:val="005531EA"/>
    <w:rsid w:val="00554423"/>
    <w:rsid w:val="00557F58"/>
    <w:rsid w:val="00561774"/>
    <w:rsid w:val="00570E9F"/>
    <w:rsid w:val="005761AE"/>
    <w:rsid w:val="005769FC"/>
    <w:rsid w:val="005B52C6"/>
    <w:rsid w:val="005C16A3"/>
    <w:rsid w:val="005C357B"/>
    <w:rsid w:val="005E2CC8"/>
    <w:rsid w:val="005E3943"/>
    <w:rsid w:val="005F1884"/>
    <w:rsid w:val="00627DE2"/>
    <w:rsid w:val="0063233C"/>
    <w:rsid w:val="00632BBC"/>
    <w:rsid w:val="0063390F"/>
    <w:rsid w:val="006361B7"/>
    <w:rsid w:val="00645A76"/>
    <w:rsid w:val="0066308D"/>
    <w:rsid w:val="00680006"/>
    <w:rsid w:val="00697BA5"/>
    <w:rsid w:val="006B6895"/>
    <w:rsid w:val="006C1EBD"/>
    <w:rsid w:val="006C2958"/>
    <w:rsid w:val="006C4E3B"/>
    <w:rsid w:val="006E6CEA"/>
    <w:rsid w:val="006E72FD"/>
    <w:rsid w:val="00706404"/>
    <w:rsid w:val="0071198E"/>
    <w:rsid w:val="00713BF2"/>
    <w:rsid w:val="0071754C"/>
    <w:rsid w:val="00721D61"/>
    <w:rsid w:val="00731F32"/>
    <w:rsid w:val="007371C0"/>
    <w:rsid w:val="00747BCD"/>
    <w:rsid w:val="007560F0"/>
    <w:rsid w:val="00770635"/>
    <w:rsid w:val="007805C3"/>
    <w:rsid w:val="007937A6"/>
    <w:rsid w:val="007A7D0D"/>
    <w:rsid w:val="007B3CDC"/>
    <w:rsid w:val="007C306B"/>
    <w:rsid w:val="007D02CC"/>
    <w:rsid w:val="007E2EF7"/>
    <w:rsid w:val="007F04DC"/>
    <w:rsid w:val="0080195E"/>
    <w:rsid w:val="0081527A"/>
    <w:rsid w:val="008209FB"/>
    <w:rsid w:val="00825827"/>
    <w:rsid w:val="00840A98"/>
    <w:rsid w:val="00851D66"/>
    <w:rsid w:val="00860DC8"/>
    <w:rsid w:val="00863D0B"/>
    <w:rsid w:val="00881CF6"/>
    <w:rsid w:val="008851A9"/>
    <w:rsid w:val="0089481C"/>
    <w:rsid w:val="00896B5A"/>
    <w:rsid w:val="008D62C3"/>
    <w:rsid w:val="008F2DEE"/>
    <w:rsid w:val="008F637A"/>
    <w:rsid w:val="00901C0D"/>
    <w:rsid w:val="009021AF"/>
    <w:rsid w:val="00903719"/>
    <w:rsid w:val="00904290"/>
    <w:rsid w:val="00913CB2"/>
    <w:rsid w:val="00922EFC"/>
    <w:rsid w:val="009416CE"/>
    <w:rsid w:val="00972B62"/>
    <w:rsid w:val="00980D28"/>
    <w:rsid w:val="00982C0F"/>
    <w:rsid w:val="00993E07"/>
    <w:rsid w:val="009D0A0E"/>
    <w:rsid w:val="009D1577"/>
    <w:rsid w:val="009D4CC4"/>
    <w:rsid w:val="009D4E37"/>
    <w:rsid w:val="009E7D22"/>
    <w:rsid w:val="009F240E"/>
    <w:rsid w:val="00A02694"/>
    <w:rsid w:val="00A245EC"/>
    <w:rsid w:val="00A31D72"/>
    <w:rsid w:val="00A339F5"/>
    <w:rsid w:val="00A45627"/>
    <w:rsid w:val="00A54607"/>
    <w:rsid w:val="00A60BAB"/>
    <w:rsid w:val="00A7099E"/>
    <w:rsid w:val="00A730EC"/>
    <w:rsid w:val="00A80EEE"/>
    <w:rsid w:val="00A84B1B"/>
    <w:rsid w:val="00AC36B0"/>
    <w:rsid w:val="00AC4F3B"/>
    <w:rsid w:val="00AD7328"/>
    <w:rsid w:val="00AF20D5"/>
    <w:rsid w:val="00B04F6E"/>
    <w:rsid w:val="00B0720B"/>
    <w:rsid w:val="00B14829"/>
    <w:rsid w:val="00B1494B"/>
    <w:rsid w:val="00B3440E"/>
    <w:rsid w:val="00B3522D"/>
    <w:rsid w:val="00B36C1F"/>
    <w:rsid w:val="00B47338"/>
    <w:rsid w:val="00B62C2B"/>
    <w:rsid w:val="00B643BC"/>
    <w:rsid w:val="00B64CD9"/>
    <w:rsid w:val="00B72AF0"/>
    <w:rsid w:val="00B756D8"/>
    <w:rsid w:val="00B8123B"/>
    <w:rsid w:val="00B8159F"/>
    <w:rsid w:val="00B832E6"/>
    <w:rsid w:val="00B83834"/>
    <w:rsid w:val="00B91AE0"/>
    <w:rsid w:val="00B96AEE"/>
    <w:rsid w:val="00BB1808"/>
    <w:rsid w:val="00BB3782"/>
    <w:rsid w:val="00BB3C1C"/>
    <w:rsid w:val="00BD1ABB"/>
    <w:rsid w:val="00BD6B53"/>
    <w:rsid w:val="00BE2FE5"/>
    <w:rsid w:val="00BF21D8"/>
    <w:rsid w:val="00C23B7B"/>
    <w:rsid w:val="00C30611"/>
    <w:rsid w:val="00C41012"/>
    <w:rsid w:val="00C46A75"/>
    <w:rsid w:val="00C54879"/>
    <w:rsid w:val="00C6262D"/>
    <w:rsid w:val="00C667F2"/>
    <w:rsid w:val="00C673E2"/>
    <w:rsid w:val="00C74859"/>
    <w:rsid w:val="00C87F43"/>
    <w:rsid w:val="00C9221B"/>
    <w:rsid w:val="00C9713B"/>
    <w:rsid w:val="00CC39E6"/>
    <w:rsid w:val="00CC421A"/>
    <w:rsid w:val="00CC605A"/>
    <w:rsid w:val="00CD20C5"/>
    <w:rsid w:val="00CD3A7F"/>
    <w:rsid w:val="00CD7B8F"/>
    <w:rsid w:val="00CF29DA"/>
    <w:rsid w:val="00CF6204"/>
    <w:rsid w:val="00D07AE1"/>
    <w:rsid w:val="00D07EA2"/>
    <w:rsid w:val="00D24B1A"/>
    <w:rsid w:val="00D25EDD"/>
    <w:rsid w:val="00D26EEB"/>
    <w:rsid w:val="00D322E5"/>
    <w:rsid w:val="00D577F9"/>
    <w:rsid w:val="00D60A81"/>
    <w:rsid w:val="00D727D8"/>
    <w:rsid w:val="00D87076"/>
    <w:rsid w:val="00DA21C5"/>
    <w:rsid w:val="00DA5CB9"/>
    <w:rsid w:val="00DB0C25"/>
    <w:rsid w:val="00DB1157"/>
    <w:rsid w:val="00DC60FD"/>
    <w:rsid w:val="00DD0061"/>
    <w:rsid w:val="00DD46CE"/>
    <w:rsid w:val="00DD54D7"/>
    <w:rsid w:val="00DD5902"/>
    <w:rsid w:val="00DE2628"/>
    <w:rsid w:val="00DE3719"/>
    <w:rsid w:val="00DE6425"/>
    <w:rsid w:val="00DF4942"/>
    <w:rsid w:val="00DF5002"/>
    <w:rsid w:val="00DF6B87"/>
    <w:rsid w:val="00DF7D82"/>
    <w:rsid w:val="00DF7DDA"/>
    <w:rsid w:val="00E03D68"/>
    <w:rsid w:val="00E1242F"/>
    <w:rsid w:val="00E1558C"/>
    <w:rsid w:val="00E277BB"/>
    <w:rsid w:val="00E33081"/>
    <w:rsid w:val="00E40C7F"/>
    <w:rsid w:val="00E62055"/>
    <w:rsid w:val="00E74B5E"/>
    <w:rsid w:val="00E773A5"/>
    <w:rsid w:val="00E7793F"/>
    <w:rsid w:val="00E82ECC"/>
    <w:rsid w:val="00E837F2"/>
    <w:rsid w:val="00E91FF4"/>
    <w:rsid w:val="00E927EF"/>
    <w:rsid w:val="00E951D6"/>
    <w:rsid w:val="00E969D2"/>
    <w:rsid w:val="00EA0F5E"/>
    <w:rsid w:val="00EA49F4"/>
    <w:rsid w:val="00EA7707"/>
    <w:rsid w:val="00EC1E3D"/>
    <w:rsid w:val="00EC3B1B"/>
    <w:rsid w:val="00ED451E"/>
    <w:rsid w:val="00EE056F"/>
    <w:rsid w:val="00F01B53"/>
    <w:rsid w:val="00F0278B"/>
    <w:rsid w:val="00F04017"/>
    <w:rsid w:val="00F04E3E"/>
    <w:rsid w:val="00F142BF"/>
    <w:rsid w:val="00F31E3A"/>
    <w:rsid w:val="00F617EC"/>
    <w:rsid w:val="00F64373"/>
    <w:rsid w:val="00F655AA"/>
    <w:rsid w:val="00F707B4"/>
    <w:rsid w:val="00F71897"/>
    <w:rsid w:val="00F80497"/>
    <w:rsid w:val="00F86666"/>
    <w:rsid w:val="00F918D0"/>
    <w:rsid w:val="00FB1845"/>
    <w:rsid w:val="00FB5644"/>
    <w:rsid w:val="00FC5E37"/>
    <w:rsid w:val="00FD0F45"/>
    <w:rsid w:val="00FD729A"/>
    <w:rsid w:val="00FE199A"/>
    <w:rsid w:val="00FE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5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30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30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306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30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mamonov</cp:lastModifiedBy>
  <cp:revision>7</cp:revision>
  <cp:lastPrinted>2023-11-14T03:58:00Z</cp:lastPrinted>
  <dcterms:created xsi:type="dcterms:W3CDTF">2024-09-30T04:50:00Z</dcterms:created>
  <dcterms:modified xsi:type="dcterms:W3CDTF">2025-10-28T04:16:00Z</dcterms:modified>
</cp:coreProperties>
</file>