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9C0" w:rsidRPr="002416C3" w:rsidRDefault="0013793F" w:rsidP="001379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проводить</w:t>
      </w:r>
      <w:r w:rsidR="002119C0"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оценку рисков, </w:t>
      </w:r>
      <w:hyperlink r:id="rId5" w:anchor="/document/16/30383/efr0/" w:history="1">
        <w:r w:rsidR="002119C0"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как выявить, идентифицировать и оценить</w:t>
        </w:r>
      </w:hyperlink>
      <w:r w:rsidR="002119C0"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 и провести их корректировку – пошаговый алгоритм, </w:t>
      </w:r>
      <w:hyperlink r:id="rId6" w:anchor="/document/16/30383/efr8/" w:history="1">
        <w:r w:rsidR="002119C0"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какие документы</w:t>
        </w:r>
      </w:hyperlink>
      <w:r w:rsidR="002119C0"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оценке рисков должны быть в организации, как провести корректировку рисков после их оценки и </w:t>
      </w:r>
      <w:hyperlink r:id="rId7" w:anchor="/document/16/30383/dfas177ge2/" w:history="1">
        <w:r w:rsidR="002119C0"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какую ответственность</w:t>
        </w:r>
      </w:hyperlink>
      <w:r w:rsidR="002119C0"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несет работодател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рисков?</w:t>
      </w:r>
    </w:p>
    <w:p w:rsidR="002119C0" w:rsidRPr="002416C3" w:rsidRDefault="002119C0" w:rsidP="0013793F">
      <w:pPr>
        <w:shd w:val="clear" w:color="auto" w:fill="FFFFFF"/>
        <w:spacing w:before="100" w:beforeAutospacing="1" w:after="100" w:afterAutospacing="1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16C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Зачем проводить оценку профессиональных рисков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работодатель вне зависимости от формы собственности, размера предприятия и вида экономической деятельности должен провести процедуру оценки и управления профессиональными рисками. Поскольку работодатель обязан обеспечить создание и функционирование </w:t>
      </w:r>
      <w:hyperlink r:id="rId8" w:anchor="/document/16/21270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системы управления охраной труда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оценка рисков – один из основных элементов системы. Это указано в статьях </w:t>
      </w:r>
      <w:hyperlink r:id="rId9" w:anchor="/document/99/901807664/XA00MBO2MV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209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anchor="/document/99/901807664/XA00MBO2MV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212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и пунктах </w:t>
      </w:r>
      <w:hyperlink r:id="rId11" w:anchor="/document/99/420376480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29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anchor="/document/99/420376480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33–39</w:t>
        </w:r>
      </w:hyperlink>
      <w:hyperlink r:id="rId13" w:anchor="/document/99/420376480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типового положения о СУОТ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14" w:anchor="/document/99/420376480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Минтруда от 19.08.2016 № 438н (далее – Положение).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оценка рисков помогает снизить риск возникновения </w:t>
      </w:r>
      <w:hyperlink r:id="rId15" w:anchor="/document/16/30354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несчастных случаев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6" w:anchor="/document/16/37663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профзаболеваний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конкретном рабочем месте и выявить, какие меры по обеспечению безопасности на предприятии необходимо принимать в первую очередь.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оценка рисков помогает повысить мотивацию работников соблюдать требования охраны труда, социальную защищенность работников и квалификацию персонала, а также обеспечить </w:t>
      </w:r>
      <w:hyperlink r:id="rId17" w:anchor="/document/16/37503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экологическую безопасность производства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C0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hyperlink r:id="rId18" w:anchor="/document/16/36767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внеплановых проверках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9" w:anchor="/document/16/30354/" w:history="1"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расследованиях несчастных случаев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инспекторы ГИТ будут оценивать эффективность внедренной в организации системы управления охраной труда, в том числе и процедуру управления рисками.</w:t>
      </w:r>
    </w:p>
    <w:p w:rsidR="0013793F" w:rsidRPr="002416C3" w:rsidRDefault="0013793F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9C0" w:rsidRPr="002119C0" w:rsidRDefault="002119C0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Ситуация: может ли организация </w:t>
      </w:r>
      <w:r w:rsidRPr="002119C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самостоятельно</w:t>
      </w: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провести оценку профессиональных рисков или необходимо нанимать специализированную организацию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!!!!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Да, может!!!!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нет обязательных требований к порядку оценки уровня профессионального риска. Поэтому организация имеет право провести оценку и управление рисками как самостоятельно, так и заключить договор на оценку рисков со сторонней организацией.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приняли решение провести оценку рисков собственными силами, то установите и закрепите в локальных актах организации порядок оценки уровня профессионального риска. Как организовать процедуру управления рисками в организации, указано в </w:t>
      </w:r>
      <w:hyperlink r:id="rId20" w:anchor="/document/99/420376480/XA00M7M2N8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33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</w:t>
      </w:r>
    </w:p>
    <w:p w:rsidR="002119C0" w:rsidRPr="002119C0" w:rsidRDefault="002119C0" w:rsidP="0013793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должны быть документы по оценке рисков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Пропишите регламент процедуры оценки рисков в </w:t>
      </w:r>
      <w:hyperlink r:id="rId21" w:anchor="/document/118/51095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положении организации о СУОТ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указано в Положении.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выявления опасностей сформируйте </w:t>
      </w:r>
      <w:hyperlink r:id="rId22" w:anchor="/document/118/67398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реестр опасностей</w:t>
        </w:r>
      </w:hyperlink>
      <w:r w:rsidR="009A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9A0E71" w:rsidRPr="009C709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Приложение</w:t>
      </w:r>
      <w:r w:rsidR="009A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см.↓). </w:t>
      </w: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указано в </w:t>
      </w:r>
      <w:hyperlink r:id="rId23" w:anchor="/document/99/420376480/XA00M8I2NA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34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Положения. В этот документ внесите информацию о возможных опасностях на рабочем месте, вероятность их возникновения и меры, принятые для у</w:t>
      </w:r>
      <w:bookmarkStart w:id="0" w:name="_GoBack"/>
      <w:bookmarkEnd w:id="0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меньшения опасностей.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Опасности укажите в порядке уменьшения уровня риска </w:t>
      </w: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4" w:anchor="/document/99/420376480/XA00M8I2NA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п. 36 Положения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</w:t>
      </w:r>
      <w:hyperlink r:id="rId25" w:anchor="/document/118/67422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план мероприятий по корректировке</w:t>
        </w:r>
        <w:r w:rsidRPr="002416C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рисков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укажите меры, которые должны быть приняты для устранения или уменьшения рисков, укажите ответственного за каждый конкретный пункт плана, сроки его выполнения, при необходимости – источники финансирования.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результаты проведения оценки рисков и всех его промежуточных и итоговых процедур укажите в </w:t>
      </w:r>
      <w:hyperlink r:id="rId26" w:anchor="/document/118/67397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отчете о </w:t>
        </w:r>
        <w:proofErr w:type="spellStart"/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профрисках</w:t>
        </w:r>
        <w:proofErr w:type="spellEnd"/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Прямого указания на необходимость наличия плана мероприятий и отчета о </w:t>
      </w:r>
      <w:proofErr w:type="spellStart"/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профрисках</w:t>
      </w:r>
      <w:proofErr w:type="spellEnd"/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нет, но </w:t>
      </w:r>
      <w:hyperlink r:id="rId27" w:anchor="/document/99/420376480/XA00M9M2NG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 38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указывает на то, что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оценки рисков в организации должна быть прописана.</w:t>
      </w:r>
    </w:p>
    <w:p w:rsidR="002119C0" w:rsidRPr="002119C0" w:rsidRDefault="002119C0" w:rsidP="0013793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провести оценку рисков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управления рисками состоит из трех этапов:</w:t>
      </w:r>
    </w:p>
    <w:p w:rsidR="002119C0" w:rsidRPr="002119C0" w:rsidRDefault="002119C0" w:rsidP="0013793F">
      <w:pPr>
        <w:numPr>
          <w:ilvl w:val="0"/>
          <w:numId w:val="1"/>
        </w:numPr>
        <w:shd w:val="clear" w:color="auto" w:fill="FFFFFF"/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(выявление) опасностей;</w:t>
      </w:r>
    </w:p>
    <w:p w:rsidR="002119C0" w:rsidRPr="002119C0" w:rsidRDefault="002119C0" w:rsidP="0013793F">
      <w:pPr>
        <w:numPr>
          <w:ilvl w:val="0"/>
          <w:numId w:val="1"/>
        </w:numPr>
        <w:shd w:val="clear" w:color="auto" w:fill="FFFFFF"/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уровней рисков;</w:t>
      </w:r>
    </w:p>
    <w:p w:rsidR="002119C0" w:rsidRPr="002119C0" w:rsidRDefault="002119C0" w:rsidP="0013793F">
      <w:pPr>
        <w:numPr>
          <w:ilvl w:val="0"/>
          <w:numId w:val="1"/>
        </w:numPr>
        <w:shd w:val="clear" w:color="auto" w:fill="FFFFFF"/>
        <w:spacing w:after="0" w:line="240" w:lineRule="auto"/>
        <w:ind w:firstLine="1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снижению либо контролю уровней рисков.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оценки рисков в законодательстве не прописана. Поэтому оценку рисков предприятия проводят самостоятельно.</w:t>
      </w:r>
    </w:p>
    <w:p w:rsidR="002119C0" w:rsidRPr="002416C3" w:rsidRDefault="002119C0" w:rsidP="0013793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выявления, идентификации и оценки рисков можно нанять стороннюю экспертную организацию или провести процедуру своими силами. Если в организации приняли решение провести оценку рисков своими </w:t>
      </w: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силами, то можно разработать собственный алгоритм процедуры либо воспользоваться </w:t>
      </w:r>
      <w:hyperlink r:id="rId28" w:anchor="/document/16/30383/dfa45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алгоритмом из четырех шагов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разработали эксперты Системы Охрана Труда. Достоинство этого алгоритма – простота реализации на практике.</w:t>
      </w:r>
    </w:p>
    <w:p w:rsidR="002119C0" w:rsidRPr="002416C3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1. Создайте комиссию по оценке рисков.</w:t>
      </w:r>
    </w:p>
    <w:p w:rsidR="002119C0" w:rsidRPr="002119C0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Оценку рисков может проводить </w:t>
      </w:r>
      <w:hyperlink r:id="rId29" w:anchor="/document/16/6102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специалист по охране труда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30" w:anchor="/document/16/6102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служба охраны труда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эффективнее создать комиссию из трех–семи человек. Состав комиссии определяют в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 от количества работников и сферы деятельности организации. В состав комиссии можно добавить главного инженера, ответственного за пожарную безопасность, ответственного за электробезопасность, начальников структурных подразделений, представителей профсоюза и т. д. Обязательно участие работников в процессе идентификации опасностей.</w:t>
      </w:r>
    </w:p>
    <w:p w:rsidR="002119C0" w:rsidRDefault="002119C0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не обязаны иметь специальную подготовку, но должны знать, как выявлять опасности и оценивать риски. Обучить сотрудников проводить оценку рисков можно самостоятельно либо с привлечением сторонних организаций.</w:t>
      </w:r>
    </w:p>
    <w:p w:rsidR="0013793F" w:rsidRPr="002119C0" w:rsidRDefault="0013793F" w:rsidP="0013793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9C0" w:rsidRPr="002119C0" w:rsidRDefault="002119C0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Пример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создание комиссии по оценке рисков и обучение ее членов непосредственно в организации</w:t>
      </w:r>
    </w:p>
    <w:p w:rsidR="002119C0" w:rsidRPr="002119C0" w:rsidRDefault="002119C0" w:rsidP="0013793F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торговой организации с численностью работников 50 человек ответственным за оценку рисков в компании назначили специалиста по охране труда. Руководитель организации своим приказом утвердил комиссию по оценке рисков, в состав которой добавил начальника склада, поскольку склад – это самое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травмоопасное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 в организации и за последние пять лет на его территории произошло три несчастных случая, а также ответственного за электробезопасность, так как один из несчастных случаев в организации произошел из-за удара работника электрическим током. Специалист по охране труда был назначен председателем комиссии. Для обучения членов комиссии не привлекали сторонние организации, специалист по охране труда сам в устной форме разъяснил работникам процедуру проведения оценки рисков.</w:t>
      </w:r>
    </w:p>
    <w:p w:rsidR="002119C0" w:rsidRPr="002119C0" w:rsidRDefault="002119C0" w:rsidP="00241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Ситуация: кого назначают ответственным за оценку профессионального риска</w:t>
      </w:r>
    </w:p>
    <w:p w:rsidR="002119C0" w:rsidRPr="002119C0" w:rsidRDefault="002119C0" w:rsidP="00241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Работодатель сам решает, кого назначить ответственным за оценку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профрисков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2119C0" w:rsidRPr="002119C0" w:rsidRDefault="002119C0" w:rsidP="002416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оценки рисков в законодательстве четко не прописана. Поэтому работодатель сам устанавливает порядок проведения анализа и оценки рисков, а также назначает ответственных за проведение (п. 36, 37 Положения).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эту обязанность возлагают на главного инженера или руководителя службы охраны труда.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2. Выявите (идентифицируйте) опасности.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Идентификация или выявление опасностей, которые могут причинить ущерб жизни или здоровью работников, – первый и основной этап процесса управления рисками.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Внимание: 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Изучите, какие опасности могут возникнуть при выполнении сотрудниками типовых и нетиповых работ. А также опасности, которые возникают вне рабочего места или во время аварий и способны негативно повлиять на здоровье и безопасность работников.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рабочее место работника стационарное – проведите выявление опасностей на его рабочем месте. Если работники в течение дня передвигаются по территории и находятся в различных помещениях организации, опасности выявляются по всем рабочим зонам.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выявить опасности, установите все источники, ситуации, действия или их комбинации, которые могут стать причиной травмы или ухудшения состояния здоровья работников.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информация, которые можно использовать, чтобы выявить опасности: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НПА, локальные документы по охране труда и безопасности работ, которые относятся к определенному рабочему процессу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если нет инструкции по охране труда для какого-либо вида работ, то это риск «опасность,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операций».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Результаты </w:t>
      </w:r>
      <w:hyperlink r:id="rId31" w:anchor="/document/16/64867/" w:history="1"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специальной</w:t>
        </w:r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оценки</w:t>
        </w:r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 условий труда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волят определить вредные факторы, которые влияют на работника.</w:t>
      </w:r>
    </w:p>
    <w:p w:rsidR="008168ED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Техническая документация на оборудование и технологическая документация на процессы.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обычно прописывают потенциальные риски при работе с оборудованием, кроме того, в документации прописано, как работает оборудование и проходят технологические процессы, – это позволяет самостоятельно определить дополнительные риски.</w:t>
      </w:r>
    </w:p>
    <w:p w:rsidR="008168ED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8168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веществах и инструментах, которые участвуют в технологическом процессе,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позволит определить риски, которые возникают при работе сотрудников с инструментами и веществами.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Сведения о происшедших авариях, инцидентах, </w:t>
      </w:r>
      <w:hyperlink r:id="rId32" w:anchor="/document/16/30461/" w:history="1"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несчастных случаях</w:t>
        </w:r>
      </w:hyperlink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hyperlink r:id="rId33" w:anchor="/document/16/37663/" w:history="1"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профессиональных </w:t>
        </w:r>
        <w:proofErr w:type="spellStart"/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заболеваниях</w:t>
        </w:r>
      </w:hyperlink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spellEnd"/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организации и результаты их расследования.</w:t>
      </w: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увидеть, при каких работах и производственных процессах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организации работники подвергаются наиболее сильным рискам.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Доступные сведения и статистические данные о несчастных случаях и производственном травматизме в похожих организациях.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их помощью можно узнать, во время каких работ сотрудники подвергаются потенциальным рискам, и уделить больше внимания безопасности выполнения этих работ. Данные можно узнать из докладов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Ростехнадзора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ведомство публикует на своем официальном сайте, кроме того, многие компании публикуют статистику несчастных случаев на своих интернет-сайтах.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7.Жалобы работников, которые связаны с ненадлежащими условиями труда, и предложения по улучшению условий труда.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риски сложно выявить при проверках и аудитах, их могут заметить только работники, которые сталкиваются с ними во время выполнения работ.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hyperlink r:id="rId34" w:anchor="/document/12/138131/" w:history="1">
        <w:r w:rsidRPr="002416C3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>Предписания надзорных органов</w:t>
        </w:r>
      </w:hyperlink>
      <w:r w:rsidRPr="002416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области </w:t>
      </w: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охраны труда и промышленной безопасности.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Позволят выявить, в каких сферах в организации были нарушения и каким рискам подвергались работники, и уделить этим сферам повышенное внимание.</w:t>
      </w:r>
    </w:p>
    <w:p w:rsidR="002119C0" w:rsidRPr="002416C3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факторов риска рассмотрите только те опасности, которые могут привести к получению травм, ухудшению здоровья работников или к </w:t>
      </w:r>
      <w:hyperlink r:id="rId35" w:anchor="/document/16/30355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смертельному исходу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идентификации опасностей можно пользоваться списком опасностей из </w:t>
      </w:r>
      <w:hyperlink r:id="rId36" w:anchor="/document/99/420376480/XA00M942ND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пункта 35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</w:p>
    <w:p w:rsidR="008168ED" w:rsidRPr="002119C0" w:rsidRDefault="008168ED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68ED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Внимание:</w:t>
      </w: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 работодатель сам устанавливает порядок выявления и идентификации </w:t>
      </w: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опасностей.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!!!</w:t>
      </w:r>
      <w:proofErr w:type="gramEnd"/>
    </w:p>
    <w:p w:rsid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идентификации составьте </w:t>
      </w:r>
      <w:hyperlink r:id="rId37" w:anchor="/document/118/67398/" w:history="1">
        <w:r w:rsidRPr="002416C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реестр опасностей</w:t>
        </w:r>
      </w:hyperlink>
      <w:r w:rsidRPr="002416C3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Составьте его самостоятельно по результату идентификации опасностей, либо восп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ользуйтесь электронным реестром опасностей.</w:t>
      </w:r>
    </w:p>
    <w:p w:rsidR="008168ED" w:rsidRPr="002119C0" w:rsidRDefault="008168ED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9C0" w:rsidRDefault="002119C0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Пример: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и идентификация опасностей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Представители комиссии по оценке рисков проводили идентификацию опасностей на рабочих местах сотрудников бухгалтерии. Сначала члены комиссии проверили, какие существуют опасности на пути работников от проходной до кабинета, при входе в кабинет они увидели высокий порог, значит, есть опасность, что работники могут споткнуться и получить травму. Комиссия идентифицировала опасность как «опасность падения из-за потери равновесия, в том числе при спотыкании или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подскальзывании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при передвижении по скользким поверхностям или мокрым полам», руководствуясь </w:t>
      </w:r>
      <w:hyperlink r:id="rId38" w:anchor="/document/99/420376480/XA00M942ND/" w:history="1">
        <w:r w:rsidRPr="002416C3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пунктом 35</w:t>
        </w:r>
      </w:hyperlink>
      <w:r w:rsidRPr="002416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Положения</w:t>
      </w: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и добавила в перечень опасностей.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члены комиссии изучили, каким оборудованием и приборами бухгалтеры пользуются во время работы и перерывов. Поскольку работники бухгалтерии используют при работе ПК, принтер и сканер, которые подключены к электросети, поэтому комиссия добавила в перечень «опасность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контакт)».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осмотре кабинета представители комиссии обнаружили, что отсутствуют аптечки, поскольку </w:t>
      </w:r>
      <w:r w:rsidRPr="002416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hyperlink r:id="rId39" w:anchor="/document/99/420376480/XA00M942ND/" w:history="1">
        <w:r w:rsidRPr="002416C3">
          <w:rPr>
            <w:rFonts w:ascii="Times New Roman" w:eastAsia="Times New Roman" w:hAnsi="Times New Roman" w:cs="Times New Roman"/>
            <w:i/>
            <w:sz w:val="24"/>
            <w:szCs w:val="24"/>
            <w:u w:val="single"/>
            <w:lang w:eastAsia="ru-RU"/>
          </w:rPr>
          <w:t>пункте 35</w:t>
        </w:r>
      </w:hyperlink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Положения есть этот риск: «опасность,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связи», его тоже добавили в перечень.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 того как комиссия провела осмотр рабочих мест бухгалтеров, члены комиссии проверили локальные документы по охране труда и обнаружили, что бухгалтеры не прошли обучение по охране труда, комиссия идентифицировала риск: «опасность, связанная с допуском работников, не прошедших подготовку по охране труда» и добавила в перечень.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Кроме того, в перечень добавили риски: «опасность от вдыхания дыма, паров вредных газов и пыли при пожаре», «опасность воспламенения», «опасность воздействия открытого пламени», «опасность воздействия повышенной температуры окружающей среды», «опасность воздействия пониженной концентрации кислорода в воздухе», «опасность воздействия огнетушащих веществ», «опасность возникновения взрыва, происшедшего вследствие пожара», «опасность ожога при взрыве», «опасность воздействия ударной волны» и «опасность воздействия осколков частей разрушившихся зданий, сооружений, строений», поскольку пожар может возникнуть в каждой организации.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Шаг 3. Оцените уровень </w:t>
      </w:r>
      <w:proofErr w:type="spellStart"/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профрисков</w:t>
      </w:r>
      <w:proofErr w:type="spellEnd"/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Следующий этап – это оценка уровней рисков от выявленных опасностей. Риск </w:t>
      </w: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определяют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сочетание вероятности причинения ущерба и тяжести ущерба.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 уровней рисков проводят для их ранжирования и определения приоритетности мер по снижению уровней наиболее высоких рисков, мер контроля менее значимых рисков, а также методов оценки принятых мер и их эффективности.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нужно не только существующие риски, но и возможные риски при вводе в эксплуатацию новых зданий, оборудования, внедрении новых процессов и рабочих мест.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 уровня профессиональных рисков работодатель определяет с учетом характера своей деятельности и сложности выполняемых операций. Допускают использование разных методов оценки уровня профессиональных рисков для разных процессов и операций (п. </w:t>
      </w:r>
      <w:hyperlink r:id="rId40" w:anchor="/document/99/420376480/XA00M942ND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36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anchor="/document/99/420376480/XA00M942ND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37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Положения).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подходящий для себя метод, можно, например, в </w:t>
      </w:r>
      <w:hyperlink r:id="rId42" w:anchor="/document/97/401390/dfaslh95sz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В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ГОСТ Р ИСО/МЭК 31010–2011 или </w:t>
      </w:r>
      <w:hyperlink r:id="rId43" w:anchor="/document/97/469955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ГОСТ 12.0.230.4-2018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 12.0.230.4-2018 вступает в силу 1 июня 2019 года, но поскольку стандарт носит рекомендательный характер, использовать его при оценке рисков можно уже сейчас.</w:t>
      </w:r>
    </w:p>
    <w:p w:rsidR="002119C0" w:rsidRPr="002119C0" w:rsidRDefault="002119C0" w:rsidP="008168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для оценки уровня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используют простой и эффективный метод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Файна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Кинни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этому методу для каждой выявленной опасности рассчитайте индекс профессионального риска (далее – ИПР). Величину ИПР определяют, перемножив балльные 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значения трех показателей: вероятности, подверженности и последствий наступления событий из таблицы 1, по формуле: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ИПР =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Вр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Пд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Пс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Таблица. Определение ИПР по методу </w:t>
      </w:r>
      <w:proofErr w:type="spellStart"/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Файна</w:t>
      </w:r>
      <w:proofErr w:type="spellEnd"/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proofErr w:type="spellStart"/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Кинни</w:t>
      </w:r>
      <w:proofErr w:type="spell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2"/>
        <w:gridCol w:w="796"/>
        <w:gridCol w:w="2660"/>
        <w:gridCol w:w="796"/>
        <w:gridCol w:w="2847"/>
        <w:gridCol w:w="811"/>
      </w:tblGrid>
      <w:tr w:rsidR="002119C0" w:rsidRPr="002119C0" w:rsidTr="002119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Вероятность (</w:t>
            </w:r>
            <w:proofErr w:type="spellStart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</w:t>
            </w:r>
            <w:proofErr w:type="spellEnd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Подверженность (</w:t>
            </w:r>
            <w:proofErr w:type="spellStart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</w:t>
            </w:r>
            <w:proofErr w:type="spellEnd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Последствия (</w:t>
            </w:r>
            <w:proofErr w:type="spellStart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</w:t>
            </w:r>
            <w:proofErr w:type="spellEnd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Ожидаемо, это случится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(чаще 1 раза в день или более 50% времени смены)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Катастрофы, много жертв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вероятно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(ежедневно)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Разрушения, есть жертвы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Нехарактерно, но возможно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случая к случаю (еженедельно – до 6 раз в неделю)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тяжелые, один смертельный случай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Невероятно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(ежемесячно – до 3 раз в месяц)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Потеря трудоспособности, инвалидность, профзаболевания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себе представить, но невероятно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 (ежегодно – до 11 раз в год)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временной нетрудоспособности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Почти невозможно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0" w:type="auto"/>
            <w:vMerge w:val="restart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редко (до 1 раза в год)</w:t>
            </w:r>
          </w:p>
        </w:tc>
        <w:tc>
          <w:tcPr>
            <w:tcW w:w="0" w:type="auto"/>
            <w:vMerge w:val="restart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травма, достаточно оказания первой помощи</w:t>
            </w:r>
          </w:p>
        </w:tc>
        <w:tc>
          <w:tcPr>
            <w:tcW w:w="0" w:type="auto"/>
            <w:vMerge w:val="restart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невозможно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vMerge/>
            <w:vAlign w:val="center"/>
            <w:hideMark/>
          </w:tcPr>
          <w:p w:rsidR="002119C0" w:rsidRPr="002119C0" w:rsidRDefault="002119C0" w:rsidP="0021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19C0" w:rsidRPr="002119C0" w:rsidRDefault="002119C0" w:rsidP="0021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19C0" w:rsidRPr="002119C0" w:rsidRDefault="002119C0" w:rsidP="0021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19C0" w:rsidRPr="002119C0" w:rsidRDefault="002119C0" w:rsidP="0021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168ED" w:rsidRDefault="008168ED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2119C0" w:rsidRPr="002119C0" w:rsidRDefault="002119C0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Пример: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Оценка рисков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Комиссия по оценке рисков выявила и идентифицировала опасности на рабочих местах и составила перечень опасностей. Далее представители комиссии стали рассчитывать индекс профессионального риска по методу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Файна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Кинни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для «опасности падения из-за потери равновесия, в том числе при спотыкании или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подскальзывании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при передвижении по скользким поверхностям или мокрым полам», которая возникла из-за того, что при входе в кабинет бухгалтерии высокий порог, о который можно споткнуться и получить травму.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Чтобы рассчитать риск, члены комиссии изучили статистику несчастных случаев в организации и опросили бухгалтеров, часто ли они спотыкаются о порог.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Изучив статистику, выявили, что несчастных случаев, которые произошли из-за того, что работники спотыкались о порог, в организации не было. Опрос показал, что бухгалтеры спотыкаются о порог примерно раз в месяц. Таким образом, риск споткнуться о порог не характерен для работников бухгалтерии, но возможен.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таблице «Определение ИПР по методу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Файна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proofErr w:type="spell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Кинни</w:t>
      </w:r>
      <w:proofErr w:type="spell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для критериев риска поставили оценки:</w:t>
      </w:r>
    </w:p>
    <w:p w:rsidR="002119C0" w:rsidRPr="002119C0" w:rsidRDefault="002119C0" w:rsidP="002119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вероятность</w:t>
      </w:r>
      <w:proofErr w:type="gram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риска – 3 балла, нехарактерно, но возможно;</w:t>
      </w:r>
    </w:p>
    <w:p w:rsidR="002119C0" w:rsidRPr="002119C0" w:rsidRDefault="002119C0" w:rsidP="002119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подверженность</w:t>
      </w:r>
      <w:proofErr w:type="gram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10 баллов, поскольку бухгалтера входят и выходят из кабинета много раз в день;</w:t>
      </w:r>
    </w:p>
    <w:p w:rsidR="002119C0" w:rsidRPr="002119C0" w:rsidRDefault="002119C0" w:rsidP="002119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</w:t>
      </w:r>
      <w:proofErr w:type="gram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7 баллов, так как при оценке последствий желательно выбирать наиболее худший случай – это позволяет более точно оценить риски. Представители комиссии решили, что есть вероятность, что работник может неудачно упасть и получить тяжелую травму.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Перемножив баллы, комиссия рассчитала, что ИПР равен 210.</w:t>
      </w:r>
    </w:p>
    <w:p w:rsidR="002416C3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Далее комиссия оценила риск «опасность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контакт)». Представители комиссии изучили статистику несчастных случаев в организации из-за ударов током, документы по электробезопасности, проверили, проводят ли работникам инструктажи на первую группу по электробезопасности, соблюдены ли требования электробезопасности в кабинете, и провели опрос работников бухгалтерии, не было ли случаев удара током от бытовых приборов. </w:t>
      </w:r>
    </w:p>
    <w:p w:rsid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выяснила, что несчастных случаев по этой причине не происходило, требования электробезопасности соблюдаются, документы в порядке, инструктажи регулярно проводят, а работники сказали, что случаев удара током не было.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таблице для критериев риска поставили оценки:</w:t>
      </w:r>
    </w:p>
    <w:p w:rsidR="002119C0" w:rsidRPr="002119C0" w:rsidRDefault="002119C0" w:rsidP="002119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вероятность</w:t>
      </w:r>
      <w:proofErr w:type="gram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риска – 0,2 балла, поскольку прецедентов не было, а вероятность удара током от бытовых приборов, учитывая соблюдение всех требований безопасности и состояние проводки, мала;</w:t>
      </w:r>
    </w:p>
    <w:p w:rsidR="002119C0" w:rsidRPr="002119C0" w:rsidRDefault="002119C0" w:rsidP="002119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подверженность</w:t>
      </w:r>
      <w:proofErr w:type="gram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10 баллов, поскольку бухгалтера во время работы постоянно используют ПК и несколько раз в день пользуются другими электроприборами;</w:t>
      </w:r>
    </w:p>
    <w:p w:rsidR="002119C0" w:rsidRPr="002119C0" w:rsidRDefault="002119C0" w:rsidP="002119C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последствия</w:t>
      </w:r>
      <w:proofErr w:type="gramEnd"/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оценили в 15 баллов, поскольку от удара током работник может умереть.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Перемножив баллы, комиссия рассчитала, что ИПР равен 30.</w:t>
      </w:r>
    </w:p>
    <w:p w:rsidR="002119C0" w:rsidRPr="0013793F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416C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ИПР для остальных рисков представители комиссии рассчитывали аналогично.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4. Проведите корректировку оценки рисков.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Заключительный этап оценки рисков – оформление реестра опасностей и проведение корректировки.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оценки рисков составьте их перечень в зависимости от уровня каждого риска.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уменьшить риски, устраните или уменьшите факторы опасности. Для этого проведите мероприятия по снижению уровня риска в указанном порядке:</w:t>
      </w:r>
    </w:p>
    <w:p w:rsidR="002119C0" w:rsidRPr="002119C0" w:rsidRDefault="002119C0" w:rsidP="002119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опасную или вредную работу, процедуру, процесс, сырье, материалы, оборудование и т. п.;</w:t>
      </w:r>
    </w:p>
    <w:p w:rsidR="002119C0" w:rsidRPr="002119C0" w:rsidRDefault="002119C0" w:rsidP="002119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замените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4" w:anchor="/document/16/29733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опасную или вредную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работу, процедуру, процесс, сырье, материалы, оборудование и т. п.;</w:t>
      </w:r>
    </w:p>
    <w:p w:rsidR="002119C0" w:rsidRPr="002119C0" w:rsidRDefault="002119C0" w:rsidP="002119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внедрите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технические методы ограничения риска воздействия опасностей на работников;</w:t>
      </w:r>
    </w:p>
    <w:p w:rsidR="002119C0" w:rsidRPr="002119C0" w:rsidRDefault="002119C0" w:rsidP="002119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внедрите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административные методы ограничения риска воздействия опасностей на работников;</w:t>
      </w:r>
    </w:p>
    <w:p w:rsidR="002119C0" w:rsidRPr="002119C0" w:rsidRDefault="002119C0" w:rsidP="002119C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hyperlink r:id="rId45" w:anchor="/document/16/17469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СИЗ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C0" w:rsidRPr="002119C0" w:rsidRDefault="002119C0" w:rsidP="002416C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план по управлению и контролю рисков. Управлению подлежат все оцененные риски вне зависимости от их уровня.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Таблица. Определение срочности мероприятий в зависимости от уровня риска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2037"/>
        <w:gridCol w:w="5966"/>
      </w:tblGrid>
      <w:tr w:rsidR="002119C0" w:rsidRPr="002119C0" w:rsidTr="002119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профриска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риска</w:t>
            </w:r>
          </w:p>
        </w:tc>
        <w:tc>
          <w:tcPr>
            <w:tcW w:w="0" w:type="auto"/>
            <w:vAlign w:val="center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Срочность мероприятий по профилактике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0–20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Небольшой риск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не требуются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21–70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Возможный риск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уделить внимание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71–200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Серьезный риск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Требуются меры по снижению степени риска в установленные сроки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201–400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риск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Требуются неотложные меры, усовершенствования</w:t>
            </w:r>
          </w:p>
        </w:tc>
      </w:tr>
      <w:tr w:rsidR="002119C0" w:rsidRPr="002119C0" w:rsidTr="002119C0">
        <w:trPr>
          <w:tblCellSpacing w:w="15" w:type="dxa"/>
        </w:trPr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400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Крайне высокий риск</w:t>
            </w:r>
          </w:p>
        </w:tc>
        <w:tc>
          <w:tcPr>
            <w:tcW w:w="0" w:type="auto"/>
            <w:hideMark/>
          </w:tcPr>
          <w:p w:rsidR="002119C0" w:rsidRPr="002119C0" w:rsidRDefault="002119C0" w:rsidP="00211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Немедленное прекращение деятельности</w:t>
            </w:r>
          </w:p>
        </w:tc>
      </w:tr>
    </w:tbl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предпринятых действий и мер управления риск должен быть снижен до небольшого или возможного риска. Если риск остается выше среднего, разработайте новые мероприятия по его снижению и проведите повторную оценку. Если и после этого риск остается выше среднего, то необходимо принципиально пересмотреть метод выполнения работ.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оценку вероятности с учетом всех действующих и плановых профилактических мероприятий. Получится вероятность остаточного риска.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оценку степени тяжести с учетом всех действующих и плановых мероприятий по снижению риска. Получится степень тяжести остаточного риска.</w:t>
      </w:r>
    </w:p>
    <w:p w:rsid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26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Внимание</w:t>
      </w:r>
      <w:r w:rsidRPr="002119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после снижения уровней рисков необходимо провести повторную оценку рисков и установить их уровень, а также разработать меры контроля уровня риска для того, чтобы он оставался на допустимом или приемлемом для работодателя уровне.</w:t>
      </w:r>
    </w:p>
    <w:p w:rsidR="00F55926" w:rsidRPr="002119C0" w:rsidRDefault="00F55926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19C0" w:rsidRPr="002119C0" w:rsidRDefault="002119C0" w:rsidP="002119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2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Пример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: уменьшение уровня риска</w:t>
      </w:r>
    </w:p>
    <w:p w:rsidR="002119C0" w:rsidRPr="00F55926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59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Комиссия </w:t>
      </w:r>
      <w:hyperlink r:id="rId46" w:anchor="/document/16/30383/dfas0qptfr/" w:history="1">
        <w:r w:rsidRPr="00F5592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рассчитала</w:t>
        </w:r>
      </w:hyperlink>
      <w:r w:rsidRPr="00F559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что ИПР равен 210 для риска «опасность падения из-за потери равновесия, в том числе при спотыкании или </w:t>
      </w:r>
      <w:proofErr w:type="spellStart"/>
      <w:r w:rsidRPr="00F559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подскальзывании</w:t>
      </w:r>
      <w:proofErr w:type="spellEnd"/>
      <w:r w:rsidRPr="00F559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при передвижении по скользким поверхностям или мокрым полам», то есть это высокий уровень риска и он требует принятия неотложных мер. Члены комиссии изучили порог и решили, что его можно убрать и риск полностью исчезнет. Они занесли эти сведения в перечень мер по управлению рисками, установив срок в один месяц и назначив ответственным сотрудника АХО.</w:t>
      </w:r>
    </w:p>
    <w:p w:rsidR="002119C0" w:rsidRPr="00F55926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559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Далее комиссия рассмотрела «опасность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контакт)», ИПР которой равен 30. По таблице – это возможный риск, которому необходимо уделить внимание, поэтому комиссия указала в перечне мер об обязанности ответственного по электробезопасности проводить инструктажи, следить за состоянием бытовых приборов и проводки. Уровень риска и срочность мероприятий по профилактике для остальных опасностей определяют аналогично.</w:t>
      </w:r>
    </w:p>
    <w:p w:rsidR="002119C0" w:rsidRPr="002119C0" w:rsidRDefault="002119C0" w:rsidP="002119C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11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Какая ответственность за </w:t>
      </w:r>
      <w:proofErr w:type="spellStart"/>
      <w:r w:rsidRPr="00211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непроведение</w:t>
      </w:r>
      <w:proofErr w:type="spellEnd"/>
      <w:r w:rsidRPr="002119C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оценки рисков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непроведение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оценки рисков могут выдать предупреждение или наложить штраф по </w:t>
      </w:r>
      <w:hyperlink r:id="rId47" w:anchor="/document/99/901807667/XA00MHM2OG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5.27.1 КоАП.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штрафа составит:</w:t>
      </w:r>
    </w:p>
    <w:p w:rsidR="002119C0" w:rsidRPr="002119C0" w:rsidRDefault="002119C0" w:rsidP="008168ED">
      <w:pPr>
        <w:numPr>
          <w:ilvl w:val="0"/>
          <w:numId w:val="5"/>
        </w:numPr>
        <w:shd w:val="clear" w:color="auto" w:fill="FFFFFF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должностных лиц – от 2000 до 5000 руб.;</w:t>
      </w:r>
    </w:p>
    <w:p w:rsidR="002119C0" w:rsidRPr="002119C0" w:rsidRDefault="002119C0" w:rsidP="008168ED">
      <w:pPr>
        <w:numPr>
          <w:ilvl w:val="0"/>
          <w:numId w:val="5"/>
        </w:numPr>
        <w:shd w:val="clear" w:color="auto" w:fill="FFFFFF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– от 2000 до 5000 руб.;</w:t>
      </w:r>
    </w:p>
    <w:p w:rsidR="002119C0" w:rsidRPr="002119C0" w:rsidRDefault="002119C0" w:rsidP="008168ED">
      <w:pPr>
        <w:numPr>
          <w:ilvl w:val="0"/>
          <w:numId w:val="5"/>
        </w:numPr>
        <w:shd w:val="clear" w:color="auto" w:fill="FFFFFF"/>
        <w:spacing w:after="0" w:line="240" w:lineRule="auto"/>
        <w:ind w:firstLine="1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 50 000 до 80 000 руб.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92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Ситуация:</w:t>
      </w: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может ли ГИТ оштрафовать организацию, если в ней не провели оценку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может.</w:t>
      </w:r>
    </w:p>
    <w:p w:rsidR="002119C0" w:rsidRPr="002119C0" w:rsidRDefault="002119C0" w:rsidP="002416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обязан обеспечить создание и функционирование системы управления охраной труда (</w:t>
      </w:r>
      <w:hyperlink r:id="rId48" w:anchor="/document/99/901807664/ZAP25CC3I5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212 ТК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СУОТ нужно провести оценку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закрепить порядок оценки в локальном положении о СУОТ (</w:t>
      </w:r>
      <w:hyperlink r:id="rId49" w:anchor="/document/99/901807664/ZAP2N723K1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209 ТК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0" w:anchor="/document/99/420376480/ZAP2AEC3H5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типовое положение о СУОТ, утв. приказом Минтруда от 19.08.2016 № 438н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A0E71" w:rsidRPr="009A0E71" w:rsidRDefault="002119C0" w:rsidP="009A0E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организации такой документ отсутствует и оценку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проводили, то инспектор имеет право привлечь организацию к административной ответственности за отсутствие оценки </w:t>
      </w:r>
      <w:proofErr w:type="spellStart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 </w:t>
      </w:r>
      <w:hyperlink r:id="rId51" w:anchor="/document/99/901807667/XA00MHM2OG/" w:history="1">
        <w:r w:rsidRPr="002119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части 1</w:t>
        </w:r>
      </w:hyperlink>
      <w:r w:rsidRPr="00211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5.27.1 КоАП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"/>
        <w:gridCol w:w="236"/>
        <w:gridCol w:w="2530"/>
      </w:tblGrid>
      <w:tr w:rsidR="009A0E71" w:rsidTr="003F0A7C">
        <w:trPr>
          <w:jc w:val="right"/>
        </w:trPr>
        <w:tc>
          <w:tcPr>
            <w:tcW w:w="4028" w:type="dxa"/>
            <w:gridSpan w:val="3"/>
          </w:tcPr>
          <w:p w:rsidR="009A0E71" w:rsidRDefault="009A0E71" w:rsidP="003F0A7C">
            <w:r>
              <w:lastRenderedPageBreak/>
              <w:t>УТВЕРЖДАЮ</w:t>
            </w:r>
          </w:p>
        </w:tc>
      </w:tr>
      <w:tr w:rsidR="009A0E71" w:rsidTr="003F0A7C">
        <w:trPr>
          <w:jc w:val="right"/>
        </w:trPr>
        <w:tc>
          <w:tcPr>
            <w:tcW w:w="4028" w:type="dxa"/>
            <w:gridSpan w:val="3"/>
            <w:tcBorders>
              <w:bottom w:val="single" w:sz="4" w:space="0" w:color="auto"/>
            </w:tcBorders>
          </w:tcPr>
          <w:p w:rsidR="009A0E71" w:rsidRPr="00516182" w:rsidRDefault="009A0E71" w:rsidP="003F0A7C">
            <w:pPr>
              <w:jc w:val="center"/>
              <w:rPr>
                <w:lang w:val="en-US"/>
              </w:rPr>
            </w:pPr>
          </w:p>
        </w:tc>
      </w:tr>
      <w:tr w:rsidR="009A0E71" w:rsidTr="003F0A7C">
        <w:trPr>
          <w:jc w:val="right"/>
        </w:trPr>
        <w:tc>
          <w:tcPr>
            <w:tcW w:w="4028" w:type="dxa"/>
            <w:gridSpan w:val="3"/>
            <w:tcBorders>
              <w:top w:val="single" w:sz="4" w:space="0" w:color="auto"/>
            </w:tcBorders>
          </w:tcPr>
          <w:p w:rsidR="009A0E71" w:rsidRPr="000817B3" w:rsidRDefault="009A0E71" w:rsidP="003F0A7C">
            <w:pPr>
              <w:jc w:val="center"/>
              <w:rPr>
                <w:sz w:val="12"/>
                <w:szCs w:val="12"/>
              </w:rPr>
            </w:pPr>
            <w:r w:rsidRPr="000817B3">
              <w:rPr>
                <w:sz w:val="12"/>
                <w:szCs w:val="12"/>
              </w:rPr>
              <w:t>(</w:t>
            </w:r>
            <w:proofErr w:type="gramStart"/>
            <w:r w:rsidRPr="000817B3">
              <w:rPr>
                <w:sz w:val="12"/>
                <w:szCs w:val="12"/>
              </w:rPr>
              <w:t>до</w:t>
            </w:r>
            <w:r>
              <w:rPr>
                <w:sz w:val="12"/>
                <w:szCs w:val="12"/>
              </w:rPr>
              <w:t>л</w:t>
            </w:r>
            <w:r w:rsidRPr="000817B3">
              <w:rPr>
                <w:sz w:val="12"/>
                <w:szCs w:val="12"/>
              </w:rPr>
              <w:t>жность</w:t>
            </w:r>
            <w:proofErr w:type="gramEnd"/>
            <w:r w:rsidRPr="000817B3">
              <w:rPr>
                <w:sz w:val="12"/>
                <w:szCs w:val="12"/>
              </w:rPr>
              <w:t>)</w:t>
            </w:r>
          </w:p>
        </w:tc>
      </w:tr>
      <w:tr w:rsidR="009A0E71" w:rsidTr="003F0A7C">
        <w:trPr>
          <w:jc w:val="right"/>
        </w:trPr>
        <w:tc>
          <w:tcPr>
            <w:tcW w:w="4028" w:type="dxa"/>
            <w:gridSpan w:val="3"/>
          </w:tcPr>
          <w:p w:rsidR="009A0E71" w:rsidRPr="00263E8D" w:rsidRDefault="009A0E71" w:rsidP="003F0A7C">
            <w:pPr>
              <w:jc w:val="center"/>
              <w:rPr>
                <w:sz w:val="24"/>
                <w:szCs w:val="24"/>
              </w:rPr>
            </w:pPr>
          </w:p>
        </w:tc>
      </w:tr>
      <w:tr w:rsidR="009A0E71" w:rsidTr="003F0A7C">
        <w:trPr>
          <w:jc w:val="right"/>
        </w:trPr>
        <w:tc>
          <w:tcPr>
            <w:tcW w:w="4028" w:type="dxa"/>
            <w:gridSpan w:val="3"/>
            <w:tcBorders>
              <w:top w:val="single" w:sz="4" w:space="0" w:color="auto"/>
            </w:tcBorders>
          </w:tcPr>
          <w:p w:rsidR="009A0E71" w:rsidRPr="000817B3" w:rsidRDefault="009A0E71" w:rsidP="003F0A7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</w:t>
            </w:r>
            <w:proofErr w:type="gramStart"/>
            <w:r>
              <w:rPr>
                <w:sz w:val="12"/>
                <w:szCs w:val="12"/>
              </w:rPr>
              <w:t>наименование</w:t>
            </w:r>
            <w:proofErr w:type="gramEnd"/>
            <w:r>
              <w:rPr>
                <w:sz w:val="12"/>
                <w:szCs w:val="12"/>
              </w:rPr>
              <w:t xml:space="preserve"> организации)</w:t>
            </w:r>
          </w:p>
        </w:tc>
      </w:tr>
      <w:tr w:rsidR="009A0E71" w:rsidTr="003F0A7C">
        <w:trPr>
          <w:jc w:val="right"/>
        </w:trPr>
        <w:tc>
          <w:tcPr>
            <w:tcW w:w="1262" w:type="dxa"/>
            <w:tcBorders>
              <w:bottom w:val="single" w:sz="4" w:space="0" w:color="auto"/>
            </w:tcBorders>
          </w:tcPr>
          <w:p w:rsidR="009A0E71" w:rsidRDefault="009A0E71" w:rsidP="003F0A7C"/>
        </w:tc>
        <w:tc>
          <w:tcPr>
            <w:tcW w:w="236" w:type="dxa"/>
          </w:tcPr>
          <w:p w:rsidR="009A0E71" w:rsidRDefault="009A0E71" w:rsidP="003F0A7C"/>
        </w:tc>
        <w:tc>
          <w:tcPr>
            <w:tcW w:w="2530" w:type="dxa"/>
            <w:tcBorders>
              <w:bottom w:val="single" w:sz="4" w:space="0" w:color="auto"/>
            </w:tcBorders>
          </w:tcPr>
          <w:p w:rsidR="009A0E71" w:rsidRDefault="009A0E71" w:rsidP="003F0A7C"/>
        </w:tc>
      </w:tr>
      <w:tr w:rsidR="009A0E71" w:rsidTr="003F0A7C">
        <w:trPr>
          <w:jc w:val="right"/>
        </w:trPr>
        <w:tc>
          <w:tcPr>
            <w:tcW w:w="1262" w:type="dxa"/>
            <w:tcBorders>
              <w:top w:val="single" w:sz="4" w:space="0" w:color="auto"/>
            </w:tcBorders>
          </w:tcPr>
          <w:p w:rsidR="009A0E71" w:rsidRPr="00066FBD" w:rsidRDefault="009A0E71" w:rsidP="003F0A7C">
            <w:pPr>
              <w:jc w:val="center"/>
              <w:rPr>
                <w:sz w:val="12"/>
                <w:szCs w:val="12"/>
              </w:rPr>
            </w:pPr>
            <w:r w:rsidRPr="00066FBD">
              <w:rPr>
                <w:sz w:val="12"/>
                <w:szCs w:val="12"/>
              </w:rPr>
              <w:t>(</w:t>
            </w:r>
            <w:proofErr w:type="gramStart"/>
            <w:r w:rsidRPr="00066FBD">
              <w:rPr>
                <w:sz w:val="12"/>
                <w:szCs w:val="12"/>
              </w:rPr>
              <w:t>подпись</w:t>
            </w:r>
            <w:proofErr w:type="gramEnd"/>
            <w:r w:rsidRPr="00066FBD">
              <w:rPr>
                <w:sz w:val="12"/>
                <w:szCs w:val="12"/>
              </w:rPr>
              <w:t>)</w:t>
            </w:r>
          </w:p>
        </w:tc>
        <w:tc>
          <w:tcPr>
            <w:tcW w:w="236" w:type="dxa"/>
          </w:tcPr>
          <w:p w:rsidR="009A0E71" w:rsidRPr="00066FBD" w:rsidRDefault="009A0E71" w:rsidP="003F0A7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530" w:type="dxa"/>
          </w:tcPr>
          <w:p w:rsidR="009A0E71" w:rsidRPr="00066FBD" w:rsidRDefault="009A0E71" w:rsidP="003F0A7C">
            <w:pPr>
              <w:jc w:val="center"/>
              <w:rPr>
                <w:sz w:val="12"/>
                <w:szCs w:val="12"/>
              </w:rPr>
            </w:pPr>
            <w:r w:rsidRPr="00066FBD">
              <w:rPr>
                <w:sz w:val="12"/>
                <w:szCs w:val="12"/>
              </w:rPr>
              <w:t>(</w:t>
            </w:r>
            <w:proofErr w:type="gramStart"/>
            <w:r w:rsidRPr="00066FBD">
              <w:rPr>
                <w:sz w:val="12"/>
                <w:szCs w:val="12"/>
              </w:rPr>
              <w:t>инициалы</w:t>
            </w:r>
            <w:proofErr w:type="gramEnd"/>
            <w:r w:rsidRPr="00066FBD">
              <w:rPr>
                <w:sz w:val="12"/>
                <w:szCs w:val="12"/>
              </w:rPr>
              <w:t>, фамилия)</w:t>
            </w:r>
          </w:p>
        </w:tc>
      </w:tr>
      <w:tr w:rsidR="009A0E71" w:rsidTr="003F0A7C">
        <w:trPr>
          <w:jc w:val="right"/>
        </w:trPr>
        <w:tc>
          <w:tcPr>
            <w:tcW w:w="4028" w:type="dxa"/>
            <w:gridSpan w:val="3"/>
          </w:tcPr>
          <w:p w:rsidR="009A0E71" w:rsidRPr="00C90DEA" w:rsidRDefault="009A0E71" w:rsidP="003F0A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 20__г.</w:t>
            </w:r>
          </w:p>
        </w:tc>
      </w:tr>
    </w:tbl>
    <w:p w:rsidR="009A0E71" w:rsidRDefault="009A0E71" w:rsidP="009A0E71">
      <w:pPr>
        <w:jc w:val="center"/>
        <w:rPr>
          <w:rFonts w:ascii="Times New Roman" w:hAnsi="Times New Roman" w:cs="Times New Roman"/>
          <w:b/>
        </w:rPr>
      </w:pPr>
    </w:p>
    <w:p w:rsidR="009A0E71" w:rsidRPr="00C62A07" w:rsidRDefault="009A0E71" w:rsidP="009A0E71">
      <w:pPr>
        <w:jc w:val="center"/>
        <w:rPr>
          <w:rFonts w:ascii="Times New Roman" w:hAnsi="Times New Roman" w:cs="Times New Roman"/>
          <w:b/>
        </w:rPr>
      </w:pPr>
      <w:r w:rsidRPr="00C62A07">
        <w:rPr>
          <w:rFonts w:ascii="Times New Roman" w:hAnsi="Times New Roman" w:cs="Times New Roman"/>
          <w:b/>
        </w:rPr>
        <w:t>РЕЕСТР ОПАСНОСТЕЙ</w:t>
      </w:r>
    </w:p>
    <w:tbl>
      <w:tblPr>
        <w:tblW w:w="10143" w:type="dxa"/>
        <w:tblInd w:w="-572" w:type="dxa"/>
        <w:tblLook w:val="04A0" w:firstRow="1" w:lastRow="0" w:firstColumn="1" w:lastColumn="0" w:noHBand="0" w:noVBand="1"/>
      </w:tblPr>
      <w:tblGrid>
        <w:gridCol w:w="9327"/>
        <w:gridCol w:w="816"/>
      </w:tblGrid>
      <w:tr w:rsidR="009A0E71" w:rsidRPr="0025793F" w:rsidTr="003F0A7C">
        <w:trPr>
          <w:trHeight w:val="315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25793F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9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опасности 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9A0E71" w:rsidRPr="0025793F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Механические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619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подскальзывании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передвижении по скользким поверхностям или мокрым полам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557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падения с высоты, в том числе из-за отсутствия ограждения, из-за обрыва троса, в котлован, в шахту при подъеме или спуске при нештатной ситуации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551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падения из-за внезапного появления на пути следования большого перепада высот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404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удара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411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быть уколотым или проткнутым в результате воздействия движущихся колющих частей механизмов, машин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292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натыкания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неподвижную колющую поверхность (острие)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428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запутаться, в том числе в растянутых по полу сварочных проводах, тросах, нитях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затягивания или попадания в ловушку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288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затягивания в подвижные части машин и механизмов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наматывания волос, частей одежды, средств индивидуальной защиты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162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жидкости под давлением при выбросе (прорыве)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1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газа под давлением при выбросе (прорыве)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164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механического упругого элемента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трения или абразивного воздействия при соприкосновении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22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груза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94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разрезания, отрезания от воздействия острых кромок при контакте с незащищенными участками тела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273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 (при механической обработке металлических заготовок и деталей)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воздействия режущих инструментов (дисковые ножи, дисковые пилы)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разрыва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94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Электрические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277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271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электростатическим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зарядом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159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поражения током от наведенного напряжения на рабочем месте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поражения вследствие возникновения электрической дуги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поражения при прямом попадании молнии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косвенного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поражения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молнией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Термические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ожога при контакте незащищенных частей тела с поверхностью предметов, имеющих высокую температуру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ожога от воздействия на незащищенные участки тела материалов, жидкостей или газов, имеющих высокую температуру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ожога от воздействия открытого пламени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теплового удара от воздействия окружающих поверхностей оборудования, имеющих высокую температуру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теплового удара при длительном нахождении вблизи открытого пламени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теплового удара при длительном нахождении в помещении с высокой температурой воздуха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Ожог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роговицы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глаза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воздействия на незащищенные участки тела материалов, жидкостей или газов, имеющих низкую температуру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микроклимата и климатические опасности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пониженных температур воздуха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повышенных температур воздуха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влажности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скорости движения воздуха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 из-за недостатка кислорода в воздухе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недостатка кислорода в замкнутых технологических емкостях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Опасность недостатка кислорода из-за вытеснения его другими газами или жидкостями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недостатка кислорода в подземных сооружениях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недостатка кислорода в безвоздушных средах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Барометрические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неоптимального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барометрического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давления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повышенного барометрического давления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пониженного барометрического давления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резкого изменения барометрического давления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химического фактора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от контакта с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высокоопасными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вдыхания паров вредных жидкостей, газов, пыли, тумана, дыма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208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могут способствовать пожару и взрыву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8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образования токсичных паров при нагревании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на кожные покровы смазочных масел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на кожные покровы чистящих и обезжиривающих веществ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Опасности, связанные с воздействием аэрозолей преимущественно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фиброгенного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действия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пыли на глаза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повреждения органов дыхания частицами пыли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пыли на кожу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выбросом пыли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94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воздействия воздушных взвесей вредных химических веществ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на органы дыхания воздушных взвесей, содержащих смазочные масла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на органы дыхания воздушных смесей, содержащих чистящие и обезжиривающие вещества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биологического фактора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из-за воздействия микроорганизмов-продуцентов, препаратов, содержащих живые клетки и споры микроорганизмов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из-за контакта с патогенными микроорганизмами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Опасности из-за укуса переносчиков инфекций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тяжести и напряженности трудового процесса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перемещением груза вручную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подъема тяжестей, превышающих допустимый вес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наклонами корпуса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рабочей позой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вредных для здоровья поз, связанных с чрезмерным напряжением тела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физических перегрузок от периодического поднятия тяжелых узлов и деталей машин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психических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нагрузок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стрессов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перенапряжения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зрительного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анализатора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шума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повреждения мембранной перепонки уха, связанная с воздействием шума высокой интенсивности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возможностью не услышать звуковой сигнал об опасности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вибрации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воздействия локальной вибрации при использовании ручных механизмов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общей вибрации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световой среды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недостаточной освещенности в рабочей зоне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повышенной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яркости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света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пониженной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контрастности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неионизирующих излучений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94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ослаблением геомагнитного поля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электростатического поля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постоянного магнитного поля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электрического поля промышленной частоты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магнитного поля промышленной частоты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электромагнитных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излучений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лазерного излучения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Опасность, связанная с воздействием ультрафиолетового излучения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ионизирующих излучений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гамма-излучения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рентгеновского излучения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воздействием альфа-, бета-излучений, электронного или ионного и нейтронного излучении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животных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укуса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разрыва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раздавливания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заражения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выделений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насекомых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укуса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попадания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организм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инвазий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гельминтов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воздействием растений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пыльцы, фитонцидов и других веществ, выделяемых растениями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ожога выделяемыми растениями веществами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пореза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растениями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утонуть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94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утонуть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водоеме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утонуть в технологической емкости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утонуть в момент затопления шахты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 из-за расположения рабочего места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Опасности выполнения электромонтажных работ на столбах, опорах высоковольтных передач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при выполнении альпинистских работ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выполнения кровельных работ на крышах, имеющих большой угол наклона рабочей поверхности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выполнением работ на значительной глубине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Опасность, связанная с выполнением работ под землей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выполнением работ в туннелях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водолазных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работ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организационными недостатками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94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отсутствием на рабочем месте перечня возможных аварий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отсутствием информации (схемы, знаков, разметки) о направлении эвакуации в случае возникновения аварии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допуском работников, не прошедших подготовку по охране труда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пожара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от вдыхания дыма, паров вредных газов и пыли при пожаре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воспламенения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открытого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пламени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повышенной температуры окружающей среды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пониженной концентрации кислорода в воздухе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огнетушащих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веществ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осколков частей разрушившихся зданий, сооружений, строений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обрушения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обрушения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подземных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конструкций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обрушения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наземных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конструкций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транспорта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наезда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человека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падения с транспортного средства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раздавливания человека, находящегося между двумя сближающимися транспортными средствами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опрокидывания транспортного средства при нарушении способов установки и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грузов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Опасность от груза, перемещающегося во время движения транспортного средства, из-за несоблюдения правил его укладки и крепления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Опасность </w:t>
            </w:r>
            <w:proofErr w:type="spellStart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травмирования</w:t>
            </w:r>
            <w:proofErr w:type="spellEnd"/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результате дорожно-транспортного происшествия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опрокидывания транспортного средства при проведении работ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Опасность, связанная с дегустацией пищевых продуктов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дегустацией отравленной пищи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насилия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насилия от враждебно настроенных работников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насилия от третьих лиц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EC6540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Опасности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взрыва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самовозгорания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горючих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веществ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возникновения взрыва, происшедшего вследствие пожара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ударной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волны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воздействия высокого давления при взрыве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ожога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при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взрыве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 обрушения горных пород при взрыве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315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Опасности, связанные с применением средств индивидуальной защиты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 несоответствием средств индивидуальной защиты анатомическим особенностям человека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70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Опасность, связанная со скованностью, вызванной применением средств индивидуальной защиты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0E71" w:rsidRPr="007447CD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E71" w:rsidRPr="0025793F" w:rsidTr="003F0A7C">
        <w:trPr>
          <w:trHeight w:val="237"/>
        </w:trPr>
        <w:tc>
          <w:tcPr>
            <w:tcW w:w="9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E71" w:rsidRPr="00BD443C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Опасность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отравления</w:t>
            </w:r>
            <w:proofErr w:type="spellEnd"/>
          </w:p>
        </w:tc>
        <w:tc>
          <w:tcPr>
            <w:tcW w:w="816" w:type="dxa"/>
            <w:tcBorders>
              <w:top w:val="nil"/>
              <w:left w:val="single" w:sz="4" w:space="0" w:color="auto"/>
            </w:tcBorders>
          </w:tcPr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A0E71" w:rsidRDefault="009A0E71" w:rsidP="003F0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9A0E71" w:rsidRDefault="009A0E71" w:rsidP="009A0E71"/>
    <w:p w:rsidR="009A0E71" w:rsidRDefault="009A0E71" w:rsidP="009A0E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Разработал:</w:t>
      </w:r>
    </w:p>
    <w:tbl>
      <w:tblPr>
        <w:tblStyle w:val="a3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462"/>
        <w:gridCol w:w="1522"/>
        <w:gridCol w:w="709"/>
        <w:gridCol w:w="3578"/>
      </w:tblGrid>
      <w:tr w:rsidR="009A0E71" w:rsidTr="009A0E71">
        <w:tc>
          <w:tcPr>
            <w:tcW w:w="3794" w:type="dxa"/>
            <w:tcBorders>
              <w:bottom w:val="single" w:sz="4" w:space="0" w:color="auto"/>
            </w:tcBorders>
          </w:tcPr>
          <w:p w:rsidR="009A0E71" w:rsidRDefault="009A0E71" w:rsidP="009A0E71">
            <w:pPr>
              <w:ind w:left="-675" w:firstLine="425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</w:tcPr>
          <w:p w:rsidR="009A0E71" w:rsidRDefault="009A0E71" w:rsidP="003F0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9A0E71" w:rsidRDefault="009A0E71" w:rsidP="003F0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A0E71" w:rsidRDefault="009A0E71" w:rsidP="003F0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9A0E71" w:rsidRDefault="009A0E71" w:rsidP="003F0A7C">
            <w:pPr>
              <w:rPr>
                <w:rFonts w:ascii="Times New Roman" w:hAnsi="Times New Roman" w:cs="Times New Roman"/>
              </w:rPr>
            </w:pPr>
          </w:p>
        </w:tc>
      </w:tr>
      <w:tr w:rsidR="009A0E71" w:rsidTr="009A0E71">
        <w:tc>
          <w:tcPr>
            <w:tcW w:w="3794" w:type="dxa"/>
            <w:tcBorders>
              <w:top w:val="single" w:sz="4" w:space="0" w:color="auto"/>
            </w:tcBorders>
          </w:tcPr>
          <w:p w:rsidR="009A0E71" w:rsidRPr="0017302B" w:rsidRDefault="009A0E71" w:rsidP="009A0E71">
            <w:pPr>
              <w:ind w:left="-675" w:firstLine="42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должность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462" w:type="dxa"/>
          </w:tcPr>
          <w:p w:rsidR="009A0E71" w:rsidRDefault="009A0E71" w:rsidP="003F0A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  <w:tcBorders>
              <w:top w:val="single" w:sz="4" w:space="0" w:color="auto"/>
            </w:tcBorders>
          </w:tcPr>
          <w:p w:rsidR="009A0E71" w:rsidRPr="0017302B" w:rsidRDefault="009A0E71" w:rsidP="003F0A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302B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 w:rsidRPr="0017302B">
              <w:rPr>
                <w:rFonts w:ascii="Times New Roman" w:hAnsi="Times New Roman" w:cs="Times New Roman"/>
                <w:sz w:val="12"/>
                <w:szCs w:val="12"/>
              </w:rPr>
              <w:t>подпись</w:t>
            </w:r>
            <w:proofErr w:type="gramEnd"/>
            <w:r w:rsidRPr="0017302B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:rsidR="009A0E71" w:rsidRPr="0017302B" w:rsidRDefault="009A0E71" w:rsidP="003F0A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78" w:type="dxa"/>
            <w:tcBorders>
              <w:top w:val="single" w:sz="4" w:space="0" w:color="auto"/>
            </w:tcBorders>
          </w:tcPr>
          <w:p w:rsidR="009A0E71" w:rsidRPr="0017302B" w:rsidRDefault="009A0E71" w:rsidP="003F0A7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7302B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 w:rsidRPr="0017302B">
              <w:rPr>
                <w:rFonts w:ascii="Times New Roman" w:hAnsi="Times New Roman" w:cs="Times New Roman"/>
                <w:sz w:val="12"/>
                <w:szCs w:val="12"/>
              </w:rPr>
              <w:t>инициалы</w:t>
            </w:r>
            <w:proofErr w:type="gramEnd"/>
            <w:r w:rsidRPr="0017302B">
              <w:rPr>
                <w:rFonts w:ascii="Times New Roman" w:hAnsi="Times New Roman" w:cs="Times New Roman"/>
                <w:sz w:val="12"/>
                <w:szCs w:val="12"/>
              </w:rPr>
              <w:t>, фамилия)</w:t>
            </w:r>
          </w:p>
        </w:tc>
      </w:tr>
    </w:tbl>
    <w:p w:rsidR="009A0E71" w:rsidRDefault="009A0E71" w:rsidP="009A0E71">
      <w:pPr>
        <w:rPr>
          <w:rFonts w:ascii="Times New Roman" w:hAnsi="Times New Roman" w:cs="Times New Roman"/>
        </w:rPr>
      </w:pPr>
    </w:p>
    <w:p w:rsidR="009A0E71" w:rsidRPr="002119C0" w:rsidRDefault="009A0E71" w:rsidP="00F55926">
      <w:pPr>
        <w:rPr>
          <w:sz w:val="24"/>
          <w:szCs w:val="24"/>
        </w:rPr>
      </w:pPr>
    </w:p>
    <w:sectPr w:rsidR="009A0E71" w:rsidRPr="002119C0" w:rsidSect="009A0E71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43C"/>
    <w:multiLevelType w:val="multilevel"/>
    <w:tmpl w:val="507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F277C"/>
    <w:multiLevelType w:val="multilevel"/>
    <w:tmpl w:val="1292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93716A"/>
    <w:multiLevelType w:val="multilevel"/>
    <w:tmpl w:val="73A6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F41BD9"/>
    <w:multiLevelType w:val="multilevel"/>
    <w:tmpl w:val="19FC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10059"/>
    <w:multiLevelType w:val="multilevel"/>
    <w:tmpl w:val="FBAE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D11"/>
    <w:rsid w:val="0013793F"/>
    <w:rsid w:val="002119C0"/>
    <w:rsid w:val="002416C3"/>
    <w:rsid w:val="004126AE"/>
    <w:rsid w:val="008168ED"/>
    <w:rsid w:val="009A0E71"/>
    <w:rsid w:val="009C709A"/>
    <w:rsid w:val="00DF6D11"/>
    <w:rsid w:val="00F5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816D5-802B-4006-A98D-01BB5EF2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77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0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8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4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6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0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9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5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99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31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0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6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3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2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6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5499</Words>
  <Characters>31350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2020-02-13T12:01:00Z</dcterms:created>
  <dcterms:modified xsi:type="dcterms:W3CDTF">2021-09-29T06:36:00Z</dcterms:modified>
</cp:coreProperties>
</file>