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15DFA78F" w14:textId="578A417B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="00ED0A59">
        <w:rPr>
          <w:szCs w:val="28"/>
        </w:rPr>
        <w:t xml:space="preserve">Управление архитектуры и градостроительства администрации </w:t>
      </w:r>
      <w:r w:rsidRPr="009C69DE">
        <w:rPr>
          <w:szCs w:val="28"/>
        </w:rPr>
        <w:t>городского округа Кинель Самарской области</w:t>
      </w:r>
    </w:p>
    <w:p w14:paraId="402BD9C3" w14:textId="4794FBAA" w:rsidR="003B27C3" w:rsidRPr="00ED0A59" w:rsidRDefault="00E56984" w:rsidP="00ED0A59">
      <w:pPr>
        <w:tabs>
          <w:tab w:val="left" w:pos="5245"/>
        </w:tabs>
        <w:suppressAutoHyphens/>
        <w:ind w:right="-10"/>
        <w:jc w:val="both"/>
        <w:rPr>
          <w:lang w:eastAsia="ar-SA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4171C2">
        <w:rPr>
          <w:color w:val="000000"/>
          <w:szCs w:val="28"/>
        </w:rPr>
        <w:t xml:space="preserve">проект </w:t>
      </w:r>
      <w:r w:rsidR="009E6F62" w:rsidRPr="009E6F62">
        <w:rPr>
          <w:szCs w:val="28"/>
        </w:rPr>
        <w:t>постановления администрации городского округа Кинель Самарской области «</w:t>
      </w:r>
      <w:r w:rsidR="00ED0A59">
        <w:rPr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8A6AF0">
        <w:rPr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</w:t>
      </w:r>
      <w:r w:rsidR="00ED0A59">
        <w:rPr>
          <w:szCs w:val="28"/>
          <w:lang w:eastAsia="ar-SA"/>
        </w:rPr>
        <w:t>» (в новой редакции)</w:t>
      </w:r>
      <w:r w:rsidR="009E6F62" w:rsidRPr="009E6F62">
        <w:rPr>
          <w:szCs w:val="28"/>
        </w:rPr>
        <w:t>»</w:t>
      </w:r>
      <w:r w:rsidR="00ED0A59">
        <w:rPr>
          <w:szCs w:val="28"/>
        </w:rPr>
        <w:t>.</w:t>
      </w:r>
    </w:p>
    <w:p w14:paraId="6D4DEC3F" w14:textId="39878751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  <w:r w:rsidR="008A6AF0">
        <w:rPr>
          <w:szCs w:val="28"/>
        </w:rPr>
        <w:t xml:space="preserve"> 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отсутствует.</w:t>
      </w:r>
    </w:p>
    <w:p w14:paraId="33A425E6" w14:textId="000AA412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364619">
        <w:rPr>
          <w:szCs w:val="28"/>
        </w:rPr>
        <w:t>высокая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0CCE4460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364619">
        <w:rPr>
          <w:szCs w:val="28"/>
        </w:rPr>
        <w:t>10</w:t>
      </w:r>
      <w:r>
        <w:rPr>
          <w:szCs w:val="28"/>
        </w:rPr>
        <w:t xml:space="preserve">» </w:t>
      </w:r>
      <w:r w:rsidR="00ED0A59">
        <w:rPr>
          <w:szCs w:val="28"/>
        </w:rPr>
        <w:t>августа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г.;</w:t>
      </w:r>
    </w:p>
    <w:p w14:paraId="2E8D7A96" w14:textId="638D8A0E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окончание: «</w:t>
      </w:r>
      <w:r w:rsidR="00ED0A59">
        <w:rPr>
          <w:szCs w:val="28"/>
        </w:rPr>
        <w:t>23</w:t>
      </w:r>
      <w:r>
        <w:rPr>
          <w:szCs w:val="28"/>
        </w:rPr>
        <w:t xml:space="preserve">» </w:t>
      </w:r>
      <w:r w:rsidR="00ED0A59">
        <w:rPr>
          <w:szCs w:val="28"/>
        </w:rPr>
        <w:t>августа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</w:t>
      </w:r>
      <w:proofErr w:type="gramStart"/>
      <w:r>
        <w:rPr>
          <w:szCs w:val="28"/>
        </w:rPr>
        <w:t>.</w:t>
      </w:r>
      <w:r w:rsidR="002C673C">
        <w:rPr>
          <w:szCs w:val="28"/>
        </w:rPr>
        <w:t>(</w:t>
      </w:r>
      <w:proofErr w:type="gramEnd"/>
      <w:r w:rsidR="002C673C">
        <w:rPr>
          <w:szCs w:val="28"/>
        </w:rPr>
        <w:t>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Pr="00A03AA0" w:rsidRDefault="009E6F62" w:rsidP="00A03A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 xml:space="preserve">Описание </w:t>
      </w:r>
      <w:r w:rsidRPr="00A03AA0">
        <w:rPr>
          <w:szCs w:val="28"/>
        </w:rPr>
        <w:t>проблемы, на решение которой направлен предлагаемый способ правового регулирования</w:t>
      </w:r>
      <w:r w:rsidR="007429B4" w:rsidRPr="00A03AA0">
        <w:rPr>
          <w:szCs w:val="28"/>
        </w:rPr>
        <w:t xml:space="preserve"> </w:t>
      </w:r>
    </w:p>
    <w:p w14:paraId="6021CC4C" w14:textId="061D2C25" w:rsidR="00364619" w:rsidRPr="00364619" w:rsidRDefault="007429B4" w:rsidP="00A03A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619">
        <w:rPr>
          <w:rFonts w:ascii="Times New Roman" w:hAnsi="Times New Roman" w:cs="Times New Roman"/>
          <w:sz w:val="28"/>
          <w:szCs w:val="28"/>
        </w:rPr>
        <w:t>-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FD6B08">
        <w:rPr>
          <w:rFonts w:ascii="Times New Roman" w:hAnsi="Times New Roman" w:cs="Times New Roman"/>
          <w:sz w:val="28"/>
          <w:szCs w:val="28"/>
        </w:rPr>
        <w:t xml:space="preserve"> в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D6B08">
        <w:rPr>
          <w:rFonts w:ascii="Times New Roman" w:hAnsi="Times New Roman" w:cs="Times New Roman"/>
          <w:sz w:val="28"/>
          <w:szCs w:val="28"/>
        </w:rPr>
        <w:t>м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D6B08">
        <w:rPr>
          <w:rFonts w:ascii="Times New Roman" w:hAnsi="Times New Roman" w:cs="Times New Roman"/>
          <w:sz w:val="28"/>
          <w:szCs w:val="28"/>
        </w:rPr>
        <w:t>е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Кинель 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регламента предоставления муниципальной услуги «</w:t>
      </w:r>
      <w:r w:rsidR="008A6AF0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>» соответствующего</w:t>
      </w:r>
      <w:r w:rsidR="00FD6B0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 xml:space="preserve"> вышестоящим нормативн</w:t>
      </w:r>
      <w:r w:rsidR="00FD6B08">
        <w:rPr>
          <w:rFonts w:ascii="Times New Roman" w:hAnsi="Times New Roman" w:cs="Times New Roman"/>
          <w:sz w:val="28"/>
          <w:szCs w:val="28"/>
          <w:lang w:eastAsia="ar-SA"/>
        </w:rPr>
        <w:t>ым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 xml:space="preserve"> правовым актам.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</w:t>
      </w:r>
      <w:r w:rsidRPr="003646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2090F" w14:textId="642AF2A8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619">
        <w:rPr>
          <w:szCs w:val="28"/>
        </w:rPr>
        <w:t>2.2. Характеристика</w:t>
      </w:r>
      <w:r>
        <w:rPr>
          <w:szCs w:val="28"/>
        </w:rPr>
        <w:t xml:space="preserve">   негативных   эффектов, возникающих в связи с наличием проблемы, их количественная оценка -  отсутствуют.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2C673C">
        <w:rPr>
          <w:szCs w:val="28"/>
        </w:rPr>
        <w:t>решение указанной 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lastRenderedPageBreak/>
        <w:t xml:space="preserve">    </w:t>
      </w:r>
      <w:bookmarkStart w:id="0" w:name="Par362"/>
      <w:bookmarkEnd w:id="0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2D7C4C0F" w14:textId="226CEC53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B4" w:rsidRPr="007429B4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7EAA80" w14:textId="7D7862AC" w:rsidR="00E56984" w:rsidRPr="004C0B44" w:rsidRDefault="002C673C" w:rsidP="008C785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C0B44" w:rsidRPr="004C0B44">
        <w:rPr>
          <w:szCs w:val="28"/>
        </w:rPr>
        <w:t xml:space="preserve">выдача </w:t>
      </w:r>
      <w:r w:rsidR="004C0B44" w:rsidRPr="004C0B44">
        <w:rPr>
          <w:color w:val="333333"/>
          <w:szCs w:val="28"/>
          <w:shd w:val="clear" w:color="auto" w:fill="FFFFFF"/>
        </w:rPr>
        <w:t>разрешения на отклонение от предельных параметров разрешенного строительства предусматривает, что все владельцы земельных участков с особой конфигурацией или инженерно-геологическими неблагоприятными характеристиками</w:t>
      </w:r>
      <w:r w:rsidRPr="004C0B44">
        <w:rPr>
          <w:szCs w:val="28"/>
        </w:rPr>
        <w:t>.</w:t>
      </w:r>
    </w:p>
    <w:p w14:paraId="5A5FBC2D" w14:textId="77777777" w:rsidR="007F0F53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521657A3" w14:textId="56A4339A" w:rsidR="001B63D5" w:rsidRPr="001B63D5" w:rsidRDefault="001B63D5" w:rsidP="0081683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</w:t>
      </w:r>
      <w:r w:rsidR="006F054E" w:rsidRPr="00B364CA">
        <w:rPr>
          <w:szCs w:val="28"/>
        </w:rPr>
        <w:t>Градостроительны</w:t>
      </w:r>
      <w:r w:rsidR="006F054E">
        <w:rPr>
          <w:szCs w:val="28"/>
        </w:rPr>
        <w:t>й кодекс</w:t>
      </w:r>
      <w:r w:rsidR="006F054E" w:rsidRPr="00B364CA">
        <w:rPr>
          <w:szCs w:val="28"/>
        </w:rPr>
        <w:t xml:space="preserve"> Российской Федерации</w:t>
      </w:r>
      <w:r w:rsidRPr="001B63D5">
        <w:rPr>
          <w:szCs w:val="28"/>
        </w:rPr>
        <w:t>;</w:t>
      </w:r>
    </w:p>
    <w:p w14:paraId="25C2F5B9" w14:textId="55562F70" w:rsidR="00E56984" w:rsidRPr="006F054E" w:rsidRDefault="001B63D5" w:rsidP="00816834">
      <w:pPr>
        <w:tabs>
          <w:tab w:val="left" w:pos="7938"/>
        </w:tabs>
        <w:ind w:right="-2" w:firstLine="709"/>
        <w:jc w:val="both"/>
        <w:rPr>
          <w:szCs w:val="28"/>
        </w:rPr>
      </w:pPr>
      <w:r w:rsidRPr="001B63D5">
        <w:rPr>
          <w:szCs w:val="28"/>
        </w:rPr>
        <w:t xml:space="preserve">- решение Думы городского округа Кинель Самарской </w:t>
      </w:r>
      <w:r w:rsidRPr="006F054E">
        <w:rPr>
          <w:szCs w:val="28"/>
        </w:rPr>
        <w:t xml:space="preserve">области от </w:t>
      </w:r>
      <w:r w:rsidR="00FD6B08">
        <w:rPr>
          <w:szCs w:val="28"/>
        </w:rPr>
        <w:t>29.11.2019</w:t>
      </w:r>
      <w:bookmarkStart w:id="1" w:name="_GoBack"/>
      <w:bookmarkEnd w:id="1"/>
      <w:r w:rsidR="006F054E" w:rsidRPr="006F054E">
        <w:rPr>
          <w:szCs w:val="28"/>
        </w:rPr>
        <w:t xml:space="preserve"> г. № 503</w:t>
      </w:r>
      <w:r w:rsidRPr="006F054E">
        <w:rPr>
          <w:szCs w:val="28"/>
        </w:rPr>
        <w:t xml:space="preserve"> «</w:t>
      </w:r>
      <w:r w:rsidR="006F054E" w:rsidRPr="006F054E">
        <w:rPr>
          <w:szCs w:val="28"/>
        </w:rPr>
        <w:t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6F054E">
        <w:rPr>
          <w:szCs w:val="28"/>
        </w:rPr>
        <w:t>».</w:t>
      </w: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233B404C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- </w:t>
      </w:r>
      <w:r w:rsidR="00B023F8" w:rsidRPr="00003117">
        <w:rPr>
          <w:lang w:eastAsia="zh-CN"/>
        </w:rPr>
        <w:t>физические лица, индивидуальные предприниматели, юридические лица</w:t>
      </w:r>
      <w:r w:rsidR="00B023F8">
        <w:rPr>
          <w:lang w:eastAsia="zh-CN"/>
        </w:rPr>
        <w:t>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1B63D5">
        <w:rPr>
          <w:szCs w:val="28"/>
        </w:rPr>
        <w:t>отсутствуют</w:t>
      </w:r>
      <w:r w:rsidR="00DE77B4" w:rsidRPr="001B63D5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>
        <w:rPr>
          <w:szCs w:val="28"/>
        </w:rPr>
        <w:t>отсутствуют.</w:t>
      </w:r>
    </w:p>
    <w:p w14:paraId="06B732D1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2" w:name="Par412"/>
      <w:bookmarkEnd w:id="2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19C6F62A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2022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0DDC739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1B63D5">
              <w:rPr>
                <w:sz w:val="24"/>
                <w:szCs w:val="24"/>
              </w:rPr>
              <w:t xml:space="preserve">с </w:t>
            </w:r>
            <w:r w:rsidR="0005050E">
              <w:rPr>
                <w:sz w:val="24"/>
                <w:szCs w:val="24"/>
              </w:rPr>
              <w:t>июля</w:t>
            </w:r>
            <w:r w:rsidR="001B63D5">
              <w:rPr>
                <w:sz w:val="24"/>
                <w:szCs w:val="24"/>
              </w:rPr>
              <w:t xml:space="preserve"> 2022 по </w:t>
            </w:r>
            <w:r w:rsidR="0005050E">
              <w:rPr>
                <w:sz w:val="24"/>
                <w:szCs w:val="24"/>
              </w:rPr>
              <w:t>июль</w:t>
            </w:r>
            <w:r w:rsidR="001B63D5">
              <w:rPr>
                <w:sz w:val="24"/>
                <w:szCs w:val="24"/>
              </w:rPr>
              <w:t xml:space="preserve"> 2023г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764D99D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934AC12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 xml:space="preserve">за период </w:t>
            </w:r>
            <w:r w:rsidR="0005050E">
              <w:rPr>
                <w:sz w:val="24"/>
                <w:szCs w:val="24"/>
              </w:rPr>
              <w:t>с июля 2022 по июль 2023г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6A0D3485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6FE610F9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05050E">
              <w:rPr>
                <w:szCs w:val="28"/>
              </w:rPr>
              <w:t>июля</w:t>
            </w:r>
            <w:r w:rsid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="001B63D5">
              <w:rPr>
                <w:szCs w:val="28"/>
              </w:rPr>
              <w:t xml:space="preserve"> 2023</w:t>
            </w:r>
            <w:r>
              <w:rPr>
                <w:szCs w:val="28"/>
              </w:rPr>
              <w:t xml:space="preserve">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449E76E8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05050E">
              <w:rPr>
                <w:szCs w:val="28"/>
              </w:rPr>
              <w:t>июля</w:t>
            </w:r>
            <w:r w:rsidRP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Pr="001B63D5">
              <w:rPr>
                <w:szCs w:val="28"/>
              </w:rPr>
              <w:t xml:space="preserve">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2416E49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10FA2C66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05050E">
              <w:rPr>
                <w:szCs w:val="28"/>
              </w:rPr>
              <w:t>июля</w:t>
            </w:r>
            <w:r w:rsidRP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Pr="001B63D5">
              <w:rPr>
                <w:szCs w:val="28"/>
              </w:rPr>
              <w:t xml:space="preserve">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7A725457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>
        <w:rPr>
          <w:szCs w:val="28"/>
        </w:rPr>
        <w:t>отсутствуют.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2E412335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>/не учтено (если не учтено, указывается обоснование не</w:t>
            </w:r>
            <w:r w:rsidR="008A6AF0">
              <w:rPr>
                <w:szCs w:val="28"/>
              </w:rPr>
              <w:t xml:space="preserve"> </w:t>
            </w:r>
            <w:r>
              <w:rPr>
                <w:szCs w:val="28"/>
              </w:rPr>
              <w:t>учета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84E892D" w14:textId="47F14A4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EBC6CB4" w14:textId="6DA2EB1D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E229A71" w14:textId="77777777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6678FB0D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  <w:r w:rsidR="0081683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2573CC7F" w:rsidR="00E56984" w:rsidRDefault="008C7855" w:rsidP="00816834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 w:rsidR="00816834">
              <w:t xml:space="preserve">С.Г. Федюкин </w:t>
            </w:r>
          </w:p>
        </w:tc>
      </w:tr>
    </w:tbl>
    <w:p w14:paraId="4D859248" w14:textId="4A441689" w:rsidR="00E56984" w:rsidRDefault="00816834" w:rsidP="008C7855">
      <w:r>
        <w:t xml:space="preserve">  </w:t>
      </w:r>
    </w:p>
    <w:p w14:paraId="1849AE99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3C59AFDF" w:rsidR="00AD4F41" w:rsidRDefault="008C7855" w:rsidP="008C7855">
      <w:r>
        <w:t>«____» _________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05050E"/>
    <w:rsid w:val="00136582"/>
    <w:rsid w:val="001B63D5"/>
    <w:rsid w:val="002279B4"/>
    <w:rsid w:val="002C673C"/>
    <w:rsid w:val="002D7377"/>
    <w:rsid w:val="00364619"/>
    <w:rsid w:val="003B27C3"/>
    <w:rsid w:val="003D3E23"/>
    <w:rsid w:val="004B1B10"/>
    <w:rsid w:val="004C0B44"/>
    <w:rsid w:val="005B34F1"/>
    <w:rsid w:val="006F054E"/>
    <w:rsid w:val="007429B4"/>
    <w:rsid w:val="00774629"/>
    <w:rsid w:val="007F0F53"/>
    <w:rsid w:val="00816834"/>
    <w:rsid w:val="008A6AF0"/>
    <w:rsid w:val="008C7855"/>
    <w:rsid w:val="009E6F62"/>
    <w:rsid w:val="00A03AA0"/>
    <w:rsid w:val="00A151A3"/>
    <w:rsid w:val="00A57B8F"/>
    <w:rsid w:val="00AD4F41"/>
    <w:rsid w:val="00B023F8"/>
    <w:rsid w:val="00C514A9"/>
    <w:rsid w:val="00DE77B4"/>
    <w:rsid w:val="00E56984"/>
    <w:rsid w:val="00EB7E64"/>
    <w:rsid w:val="00ED0A59"/>
    <w:rsid w:val="00F402DF"/>
    <w:rsid w:val="00FD24FC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FA21-B07D-43CC-AEA5-EA813BB0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User</cp:lastModifiedBy>
  <cp:revision>9</cp:revision>
  <cp:lastPrinted>2022-07-18T12:43:00Z</cp:lastPrinted>
  <dcterms:created xsi:type="dcterms:W3CDTF">2022-08-15T07:21:00Z</dcterms:created>
  <dcterms:modified xsi:type="dcterms:W3CDTF">2022-08-24T10:49:00Z</dcterms:modified>
</cp:coreProperties>
</file>