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2D36C3">
            <w:pPr>
              <w:pStyle w:val="1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1B8937AE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>Об утверждении Администрати</w:t>
      </w:r>
      <w:bookmarkStart w:id="0" w:name="_GoBack"/>
      <w:bookmarkEnd w:id="0"/>
      <w:r w:rsidR="00F26CA5" w:rsidRPr="00A25098">
        <w:rPr>
          <w:szCs w:val="28"/>
          <w:lang w:eastAsia="ar-SA"/>
        </w:rPr>
        <w:t xml:space="preserve">вного </w:t>
      </w:r>
      <w:r w:rsidR="00ED0A59" w:rsidRPr="00A25098">
        <w:rPr>
          <w:szCs w:val="28"/>
          <w:lang w:eastAsia="ar-SA"/>
        </w:rPr>
        <w:t>регламента предоставления муниципальной услуги «</w:t>
      </w:r>
      <w:r w:rsidR="002D36C3">
        <w:rPr>
          <w:color w:val="000000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F26CA5" w:rsidRPr="00A25098">
        <w:rPr>
          <w:szCs w:val="28"/>
        </w:rPr>
        <w:t xml:space="preserve">» </w:t>
      </w:r>
      <w:r w:rsidR="00F26CA5" w:rsidRPr="00A25098">
        <w:t>на территории городского округа Кинель Самарской области</w:t>
      </w:r>
      <w:r w:rsidR="00ED0A59" w:rsidRPr="00A25098">
        <w:rPr>
          <w:szCs w:val="28"/>
          <w:lang w:eastAsia="ar-SA"/>
        </w:rPr>
        <w:t xml:space="preserve"> (в новой редакции)</w:t>
      </w:r>
      <w:r w:rsidR="00ED0A59" w:rsidRPr="00A25098">
        <w:rPr>
          <w:szCs w:val="28"/>
        </w:rPr>
        <w:t>.</w:t>
      </w:r>
      <w:proofErr w:type="gramEnd"/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 w:rsidRPr="00A25098">
        <w:rPr>
          <w:szCs w:val="28"/>
        </w:rPr>
        <w:t>10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 w:rsidRPr="00A25098"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ED0A59" w:rsidRPr="00A25098">
        <w:rPr>
          <w:szCs w:val="28"/>
        </w:rPr>
        <w:t>23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536A92BC" w:rsidR="00F55367" w:rsidRPr="00F55367" w:rsidRDefault="00364619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F55367" w:rsidRPr="00F55367">
        <w:rPr>
          <w:szCs w:val="28"/>
        </w:rPr>
        <w:t>Приведение административного регламента в соответствии с Градостроительным кодексом Российской Федерации,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A25098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1A6F3680" w:rsidR="00E56984" w:rsidRDefault="001B63D5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F55367">
        <w:rPr>
          <w:szCs w:val="28"/>
        </w:rPr>
        <w:t>Градостроительный кодекс Российской Федерации</w:t>
      </w:r>
      <w:r w:rsidRPr="00F55367">
        <w:rPr>
          <w:szCs w:val="28"/>
        </w:rPr>
        <w:t>;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2" w:name="Par412"/>
      <w:bookmarkEnd w:id="2"/>
      <w:r>
        <w:rPr>
          <w:szCs w:val="28"/>
        </w:rPr>
        <w:lastRenderedPageBreak/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5785ACF" w:rsidR="00E5698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 xml:space="preserve">2022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7.2. Качественная характеристика </w:t>
            </w:r>
            <w:r>
              <w:rPr>
                <w:szCs w:val="28"/>
              </w:rPr>
              <w:lastRenderedPageBreak/>
              <w:t>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lastRenderedPageBreak/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A29D0F8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>/не учтено (если не учтено, указывается обоснование не</w:t>
            </w:r>
            <w:r w:rsidR="002D36C3">
              <w:rPr>
                <w:szCs w:val="28"/>
              </w:rPr>
              <w:t xml:space="preserve"> </w:t>
            </w:r>
            <w:r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</w:t>
            </w:r>
            <w:r w:rsidRPr="00C514A9">
              <w:rPr>
                <w:sz w:val="22"/>
                <w:szCs w:val="22"/>
              </w:rPr>
              <w:lastRenderedPageBreak/>
              <w:t xml:space="preserve">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lastRenderedPageBreak/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B63D5"/>
    <w:rsid w:val="002009F2"/>
    <w:rsid w:val="002279B4"/>
    <w:rsid w:val="002C673C"/>
    <w:rsid w:val="002D36C3"/>
    <w:rsid w:val="002D7377"/>
    <w:rsid w:val="00336D81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C7855"/>
    <w:rsid w:val="009E6F62"/>
    <w:rsid w:val="00A03AA0"/>
    <w:rsid w:val="00A151A3"/>
    <w:rsid w:val="00A25098"/>
    <w:rsid w:val="00A264C5"/>
    <w:rsid w:val="00A57B8F"/>
    <w:rsid w:val="00AD4F41"/>
    <w:rsid w:val="00B023F8"/>
    <w:rsid w:val="00C514A9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0AEF-266C-4C07-9489-D0EEAB38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Архитектура</cp:lastModifiedBy>
  <cp:revision>4</cp:revision>
  <cp:lastPrinted>2022-08-24T12:08:00Z</cp:lastPrinted>
  <dcterms:created xsi:type="dcterms:W3CDTF">2022-08-24T12:09:00Z</dcterms:created>
  <dcterms:modified xsi:type="dcterms:W3CDTF">2022-08-26T08:11:00Z</dcterms:modified>
</cp:coreProperties>
</file>