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proofErr w:type="gramStart"/>
      <w:r w:rsidRPr="008E2CFC">
        <w:rPr>
          <w:color w:val="000000"/>
          <w:szCs w:val="28"/>
        </w:rPr>
        <w:t>УТВЕРЖДЕН</w:t>
      </w:r>
      <w:proofErr w:type="gramEnd"/>
      <w:r w:rsidRPr="008E2CFC">
        <w:rPr>
          <w:color w:val="000000"/>
          <w:szCs w:val="28"/>
        </w:rPr>
        <w:t xml:space="preserve">                                                                      распоряжением администрации       городского округа Кинель</w:t>
      </w:r>
    </w:p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:rsidR="00B11458" w:rsidRPr="008E2CFC" w:rsidRDefault="008E2CFC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контроля </w:t>
      </w:r>
      <w:r w:rsidR="00ED05BC">
        <w:rPr>
          <w:rFonts w:cs="Times New Roman"/>
          <w:b/>
          <w:bCs/>
          <w:szCs w:val="28"/>
        </w:rPr>
        <w:t>в сфере благоустройства на территории</w:t>
      </w:r>
      <w:r w:rsidRPr="008E2CFC">
        <w:rPr>
          <w:rFonts w:cs="Times New Roman"/>
          <w:b/>
          <w:bCs/>
          <w:szCs w:val="28"/>
        </w:rPr>
        <w:t xml:space="preserve"> городского округа Кинель Самарской области за 2022 год</w:t>
      </w:r>
      <w:bookmarkEnd w:id="0"/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 xml:space="preserve">Обобщение правоприменительной практики осуществления муниципального контроля </w:t>
      </w:r>
      <w:r w:rsidR="00ED05BC">
        <w:rPr>
          <w:sz w:val="28"/>
          <w:szCs w:val="28"/>
        </w:rPr>
        <w:t>в сфере благоустройства на территории</w:t>
      </w:r>
      <w:r w:rsidRPr="008E2CFC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2022 год подготовлено в соответствии со статьей 47 Федерального закона</w:t>
      </w:r>
      <w:r w:rsidR="00380EF0" w:rsidRPr="008E2CFC">
        <w:rPr>
          <w:sz w:val="28"/>
          <w:szCs w:val="28"/>
        </w:rPr>
        <w:t xml:space="preserve">                       </w:t>
      </w:r>
      <w:r w:rsidRPr="008E2CFC">
        <w:rPr>
          <w:sz w:val="28"/>
          <w:szCs w:val="28"/>
        </w:rPr>
        <w:t xml:space="preserve">от 31.07.2020 года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:rsidR="004E551D" w:rsidRPr="008E2CFC" w:rsidRDefault="00ED05BC" w:rsidP="008E2CF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Соблюдение юридическими лицами, индивидуальных предпринимателей, гражданами Правил благоустройства территории городского округа Кинель Самарской области, утвержденных решением Думы городского округа Кинель от 28.06.2018 года № 364, требований </w:t>
      </w:r>
      <w:r w:rsidRPr="00B4182C">
        <w:rPr>
          <w:color w:val="000000"/>
          <w:szCs w:val="28"/>
        </w:rPr>
        <w:t>к обеспечению доступности для инвалидов объектов социальной, инженерной и транспортной инфрас</w:t>
      </w:r>
      <w:r>
        <w:rPr>
          <w:color w:val="000000"/>
          <w:szCs w:val="28"/>
        </w:rPr>
        <w:t>труктур и предоставляемых услуг.</w:t>
      </w:r>
    </w:p>
    <w:p w:rsidR="004E551D" w:rsidRPr="00ED05BC" w:rsidRDefault="004E551D" w:rsidP="00ED05B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ED05BC">
        <w:rPr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ED05BC" w:rsidRPr="00ED05BC" w:rsidRDefault="00ED05BC" w:rsidP="00ED05B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D05BC">
        <w:rPr>
          <w:szCs w:val="28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Э</w:t>
      </w:r>
      <w:r w:rsidR="00ED05BC" w:rsidRPr="00ED05BC">
        <w:rPr>
          <w:szCs w:val="28"/>
        </w:rPr>
        <w:t>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Э</w:t>
      </w:r>
      <w:r w:rsidR="00ED05BC" w:rsidRPr="00ED05BC">
        <w:rPr>
          <w:szCs w:val="28"/>
        </w:rPr>
        <w:t>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Д</w:t>
      </w:r>
      <w:r w:rsidR="00ED05BC" w:rsidRPr="00ED05BC">
        <w:rPr>
          <w:szCs w:val="28"/>
        </w:rPr>
        <w:t>воровые территории;</w:t>
      </w:r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Д</w:t>
      </w:r>
      <w:r w:rsidR="00ED05BC" w:rsidRPr="00ED05BC">
        <w:rPr>
          <w:szCs w:val="28"/>
        </w:rPr>
        <w:t>етские и спортивные площадки;</w:t>
      </w:r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</w:t>
      </w:r>
      <w:r w:rsidR="00ED05BC" w:rsidRPr="00ED05BC">
        <w:rPr>
          <w:szCs w:val="28"/>
        </w:rPr>
        <w:t>лощадки для выгула животных;</w:t>
      </w:r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</w:t>
      </w:r>
      <w:r w:rsidR="00ED05BC" w:rsidRPr="00ED05BC">
        <w:rPr>
          <w:szCs w:val="28"/>
        </w:rPr>
        <w:t>арковки (парковочные места);</w:t>
      </w:r>
    </w:p>
    <w:p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</w:t>
      </w:r>
      <w:r w:rsidR="00ED05BC" w:rsidRPr="00ED05BC">
        <w:rPr>
          <w:szCs w:val="28"/>
        </w:rPr>
        <w:t>арки, скверы, иные зеленые зоны;</w:t>
      </w:r>
    </w:p>
    <w:p w:rsidR="000D1D72" w:rsidRDefault="00166D8F" w:rsidP="000D1D72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</w:t>
      </w:r>
      <w:r w:rsidR="00ED05BC" w:rsidRPr="00ED05BC">
        <w:rPr>
          <w:szCs w:val="28"/>
        </w:rPr>
        <w:t>ехнические и санитарно-защитные зоны.</w:t>
      </w:r>
    </w:p>
    <w:p w:rsidR="000D1D72" w:rsidRPr="000D1D72" w:rsidRDefault="000D1D72" w:rsidP="000D1D72">
      <w:pPr>
        <w:pStyle w:val="aa"/>
        <w:shd w:val="clear" w:color="auto" w:fill="FFFFFF"/>
        <w:spacing w:line="360" w:lineRule="auto"/>
        <w:ind w:left="0" w:firstLine="720"/>
        <w:jc w:val="both"/>
        <w:rPr>
          <w:szCs w:val="28"/>
        </w:rPr>
      </w:pPr>
      <w:r w:rsidRPr="000D1D72">
        <w:rPr>
          <w:szCs w:val="28"/>
        </w:rPr>
        <w:t xml:space="preserve">Ключевые показатели - 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складываются </w:t>
      </w:r>
      <w:proofErr w:type="gramStart"/>
      <w:r w:rsidRPr="000D1D72">
        <w:rPr>
          <w:szCs w:val="28"/>
        </w:rPr>
        <w:t>из</w:t>
      </w:r>
      <w:proofErr w:type="gramEnd"/>
      <w:r w:rsidRPr="000D1D72">
        <w:rPr>
          <w:szCs w:val="28"/>
        </w:rPr>
        <w:t>:</w:t>
      </w:r>
    </w:p>
    <w:p w:rsidR="000D1D72" w:rsidRPr="000D1D72" w:rsidRDefault="000D1D72" w:rsidP="000D1D72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t>Доли площади прилегающих территорий, в отношении которых в соответствии с правилами благоустройства не осуществляется содержание соответствующими собственниками (владельцами) зданий, строений, сооружений, земельных участков, к общей площади всех прилегающих территорий.</w:t>
      </w:r>
    </w:p>
    <w:p w:rsidR="000D1D72" w:rsidRPr="000D1D72" w:rsidRDefault="000D1D72" w:rsidP="000D1D72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t>Количества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билета.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</w:r>
    </w:p>
    <w:p w:rsidR="000D1D72" w:rsidRPr="000D1D72" w:rsidRDefault="000D1D72" w:rsidP="000D1D72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lastRenderedPageBreak/>
        <w:t>Количества кубометров мусора, обнаруженного в течение отчетного года на территориях общего пользования и прилегающих территориях. Определяется как сумма кубометров мусора (КМТОП), обнаруженного в течение отчетного года на территориях общего пользования и прилегающих территориях.</w:t>
      </w:r>
    </w:p>
    <w:p w:rsidR="000D1D72" w:rsidRPr="000D1D72" w:rsidRDefault="000D1D72" w:rsidP="000D1D72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t xml:space="preserve">Количества случаев травматизма людей, выявленных в течение отчетного года, определяется как сумма случаев получения людьми травм (СТЛ) в течение отчетного года </w:t>
      </w:r>
      <w:proofErr w:type="gramStart"/>
      <w:r w:rsidRPr="000D1D72">
        <w:rPr>
          <w:szCs w:val="28"/>
        </w:rPr>
        <w:t>вследствие</w:t>
      </w:r>
      <w:proofErr w:type="gramEnd"/>
      <w:r w:rsidRPr="000D1D72">
        <w:rPr>
          <w:szCs w:val="28"/>
        </w:rPr>
        <w:t xml:space="preserve">: </w:t>
      </w:r>
    </w:p>
    <w:p w:rsidR="000D1D72" w:rsidRPr="000D1D72" w:rsidRDefault="000D1D72" w:rsidP="000D1D72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t>не своевременного удаления наледи на территории общего пользования (включая прилегающие территории);</w:t>
      </w:r>
    </w:p>
    <w:p w:rsidR="000D1D72" w:rsidRPr="000D1D72" w:rsidRDefault="000D1D72" w:rsidP="000D1D72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t>не своевременного удаления сосулек;</w:t>
      </w:r>
    </w:p>
    <w:p w:rsidR="000D1D72" w:rsidRPr="000D1D72" w:rsidRDefault="000D1D72" w:rsidP="000D1D72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D1D72">
        <w:rPr>
          <w:szCs w:val="28"/>
        </w:rPr>
        <w:t>не установления ограждения опасных участков, включая мест ведения земляных и строительных работ.</w:t>
      </w:r>
    </w:p>
    <w:p w:rsidR="00B11458" w:rsidRDefault="000D1D72" w:rsidP="000D1D7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городского округа Кинель </w:t>
      </w:r>
      <w:r w:rsidRPr="00C172A9">
        <w:rPr>
          <w:szCs w:val="28"/>
        </w:rPr>
        <w:t xml:space="preserve">Самарской области муниципальный </w:t>
      </w:r>
      <w:r>
        <w:rPr>
          <w:szCs w:val="28"/>
        </w:rPr>
        <w:t>контроль в сфере благоустройства</w:t>
      </w:r>
      <w:r w:rsidRPr="00C172A9">
        <w:rPr>
          <w:szCs w:val="28"/>
        </w:rPr>
        <w:t xml:space="preserve"> осуществлялся</w:t>
      </w:r>
      <w:r>
        <w:rPr>
          <w:szCs w:val="28"/>
        </w:rPr>
        <w:t xml:space="preserve"> ведущим специалистом - членом административной комиссии</w:t>
      </w:r>
      <w:r w:rsidRPr="00C172A9">
        <w:rPr>
          <w:szCs w:val="28"/>
        </w:rPr>
        <w:t xml:space="preserve"> </w:t>
      </w:r>
      <w:r>
        <w:rPr>
          <w:szCs w:val="28"/>
        </w:rPr>
        <w:t xml:space="preserve">отдела административного, экологического и муниципального контроля </w:t>
      </w:r>
      <w:r w:rsidR="00B11458" w:rsidRPr="008E2CFC">
        <w:rPr>
          <w:szCs w:val="28"/>
        </w:rPr>
        <w:t xml:space="preserve">(далее - Отдел). Положение об Отделе утверждено постановлением администрации городского округа Кинель Самарской области от 15.09.2011 года № 2599. Отдел подконтролен Главе городского округа Кинель Самарской области. </w:t>
      </w:r>
    </w:p>
    <w:p w:rsidR="000D1D72" w:rsidRPr="008E2CFC" w:rsidRDefault="000D1D72" w:rsidP="000D1D7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D1D72">
        <w:rPr>
          <w:szCs w:val="28"/>
        </w:rPr>
        <w:t xml:space="preserve">      Штатная численность специалистов отдела административного, экологического и муниципального контроля, осуществляющих функции муниципального контроля в сфере благоустройства составляет одну единицу, из них занятых, одна единица.</w:t>
      </w:r>
    </w:p>
    <w:p w:rsidR="009E3736" w:rsidRPr="008E2CFC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>, отдел 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ED05BC" w:rsidRPr="00ED05BC" w:rsidRDefault="00ED05BC" w:rsidP="00ED05BC">
      <w:pPr>
        <w:pStyle w:val="aa"/>
        <w:numPr>
          <w:ilvl w:val="0"/>
          <w:numId w:val="21"/>
        </w:numPr>
        <w:spacing w:line="360" w:lineRule="auto"/>
        <w:ind w:left="0" w:right="-285" w:firstLine="0"/>
        <w:jc w:val="both"/>
        <w:rPr>
          <w:szCs w:val="28"/>
        </w:rPr>
      </w:pPr>
      <w:r w:rsidRPr="00ED05BC">
        <w:rPr>
          <w:szCs w:val="28"/>
        </w:rPr>
        <w:t xml:space="preserve"> «Кодекс Российской Федерации об административных правонарушениях» от 30.12.2001 года N 195-ФЗ;</w:t>
      </w:r>
    </w:p>
    <w:p w:rsidR="00ED05BC" w:rsidRPr="00ED05BC" w:rsidRDefault="00ED05BC" w:rsidP="00ED05BC">
      <w:pPr>
        <w:pStyle w:val="aa"/>
        <w:numPr>
          <w:ilvl w:val="0"/>
          <w:numId w:val="21"/>
        </w:numPr>
        <w:spacing w:line="360" w:lineRule="auto"/>
        <w:ind w:left="0" w:right="-285" w:firstLine="0"/>
        <w:jc w:val="both"/>
        <w:rPr>
          <w:szCs w:val="28"/>
        </w:rPr>
      </w:pPr>
      <w:r w:rsidRPr="00ED05BC">
        <w:rPr>
          <w:szCs w:val="28"/>
        </w:rPr>
        <w:lastRenderedPageBreak/>
        <w:t>Федеральный закон «Об общих принципах организации местного самоуправления в Российской Федерации» от 06.10.2003 года № 131-ФЗ;</w:t>
      </w:r>
    </w:p>
    <w:p w:rsidR="00ED05BC" w:rsidRPr="00ED05BC" w:rsidRDefault="00ED05BC" w:rsidP="00ED05BC">
      <w:pPr>
        <w:pStyle w:val="aa"/>
        <w:numPr>
          <w:ilvl w:val="0"/>
          <w:numId w:val="21"/>
        </w:numPr>
        <w:spacing w:line="360" w:lineRule="auto"/>
        <w:ind w:left="0" w:right="-285" w:firstLine="0"/>
        <w:jc w:val="both"/>
        <w:rPr>
          <w:szCs w:val="28"/>
        </w:rPr>
      </w:pPr>
      <w:r w:rsidRPr="00ED05BC">
        <w:rPr>
          <w:szCs w:val="28"/>
        </w:rPr>
        <w:t>Федеральный закон от 02.05.2006 года № 59-ФЗ «О порядке рассмотрения обращений граждан Российской Федерации»;</w:t>
      </w:r>
    </w:p>
    <w:p w:rsidR="00ED05BC" w:rsidRPr="00ED05BC" w:rsidRDefault="00ED05BC" w:rsidP="00ED05BC">
      <w:pPr>
        <w:pStyle w:val="aa"/>
        <w:numPr>
          <w:ilvl w:val="0"/>
          <w:numId w:val="21"/>
        </w:numPr>
        <w:spacing w:line="360" w:lineRule="auto"/>
        <w:ind w:left="0" w:right="-285" w:firstLine="0"/>
        <w:jc w:val="both"/>
        <w:rPr>
          <w:szCs w:val="28"/>
        </w:rPr>
      </w:pPr>
      <w:r w:rsidRPr="00ED05BC">
        <w:rPr>
          <w:szCs w:val="28"/>
        </w:rPr>
        <w:t>Федеральный закон от 31.07.2020 года № 248-ФЗ «О государственном контроле (надзоре) и муниципальном контроле в Российской Федерации»;</w:t>
      </w:r>
    </w:p>
    <w:p w:rsidR="00ED05BC" w:rsidRPr="00ED05BC" w:rsidRDefault="00ED05BC" w:rsidP="00ED05BC">
      <w:pPr>
        <w:pStyle w:val="aa"/>
        <w:numPr>
          <w:ilvl w:val="0"/>
          <w:numId w:val="21"/>
        </w:numPr>
        <w:spacing w:line="360" w:lineRule="auto"/>
        <w:ind w:left="0" w:right="-285" w:firstLine="0"/>
        <w:jc w:val="both"/>
        <w:rPr>
          <w:szCs w:val="28"/>
        </w:rPr>
      </w:pPr>
      <w:r w:rsidRPr="00ED05BC">
        <w:rPr>
          <w:szCs w:val="28"/>
        </w:rPr>
        <w:t>Федеральный закон от 31.07.2020 года № 247-ФЗ «Об обязательных требованиях в Российской Федерации»;</w:t>
      </w:r>
    </w:p>
    <w:p w:rsidR="00ED05BC" w:rsidRPr="00ED05BC" w:rsidRDefault="00ED05BC" w:rsidP="00ED05BC">
      <w:pPr>
        <w:pStyle w:val="aa"/>
        <w:numPr>
          <w:ilvl w:val="0"/>
          <w:numId w:val="21"/>
        </w:numPr>
        <w:spacing w:line="360" w:lineRule="auto"/>
        <w:ind w:left="0" w:right="-285" w:firstLine="0"/>
        <w:jc w:val="both"/>
        <w:rPr>
          <w:szCs w:val="28"/>
        </w:rPr>
      </w:pPr>
      <w:r w:rsidRPr="00ED05BC">
        <w:rPr>
          <w:szCs w:val="28"/>
        </w:rPr>
        <w:t>Постановление Правительства РФ от 10.03.2022 года</w:t>
      </w:r>
      <w:r>
        <w:rPr>
          <w:szCs w:val="28"/>
        </w:rPr>
        <w:t xml:space="preserve"> № </w:t>
      </w:r>
      <w:r w:rsidRPr="00ED05BC">
        <w:rPr>
          <w:szCs w:val="28"/>
        </w:rPr>
        <w:t>336 «Об особенностях организации и осуществления государственного контроля (надзора), муниципального контроля»;</w:t>
      </w:r>
    </w:p>
    <w:p w:rsidR="00ED05BC" w:rsidRDefault="00ED05BC" w:rsidP="00ED05BC">
      <w:pPr>
        <w:pStyle w:val="ConsPlusTitle"/>
        <w:numPr>
          <w:ilvl w:val="0"/>
          <w:numId w:val="21"/>
        </w:numPr>
        <w:spacing w:line="360" w:lineRule="auto"/>
        <w:ind w:left="0" w:right="-285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контроле в сфере благоустройства на территории городского округа Кинель Самарской области, утвержденное решением Думы городского округа Кинель Самарской области от 30.09.2021 года № 102;</w:t>
      </w:r>
    </w:p>
    <w:p w:rsidR="00ED05BC" w:rsidRDefault="00ED05BC" w:rsidP="00ED05BC">
      <w:pPr>
        <w:pStyle w:val="ConsPlusTitle"/>
        <w:numPr>
          <w:ilvl w:val="0"/>
          <w:numId w:val="21"/>
        </w:numPr>
        <w:spacing w:line="360" w:lineRule="auto"/>
        <w:ind w:left="0" w:right="-285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3C6D">
        <w:rPr>
          <w:rFonts w:ascii="Times New Roman" w:hAnsi="Times New Roman" w:cs="Times New Roman"/>
          <w:b w:val="0"/>
          <w:sz w:val="28"/>
          <w:szCs w:val="28"/>
        </w:rPr>
        <w:t>Закон Самарской области «Об административных правонарушениях на территории Самарской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от 01.11.2007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 xml:space="preserve"> № 115-ГД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D05BC" w:rsidRDefault="00ED05BC" w:rsidP="00ED05BC">
      <w:pPr>
        <w:pStyle w:val="ConsPlusTitle"/>
        <w:numPr>
          <w:ilvl w:val="0"/>
          <w:numId w:val="21"/>
        </w:numPr>
        <w:spacing w:line="360" w:lineRule="auto"/>
        <w:ind w:left="0" w:right="-285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3C6D">
        <w:rPr>
          <w:rFonts w:ascii="Times New Roman" w:hAnsi="Times New Roman" w:cs="Times New Roman"/>
          <w:b w:val="0"/>
          <w:sz w:val="28"/>
          <w:szCs w:val="28"/>
        </w:rPr>
        <w:t>Закон Самарской области «О порядке определения границ прилегающих территорий для целей благо</w:t>
      </w:r>
      <w:r>
        <w:rPr>
          <w:rFonts w:ascii="Times New Roman" w:hAnsi="Times New Roman" w:cs="Times New Roman"/>
          <w:b w:val="0"/>
          <w:sz w:val="28"/>
          <w:szCs w:val="28"/>
        </w:rPr>
        <w:t>устройства в Самарской области»</w:t>
      </w:r>
      <w:r w:rsidRPr="0096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13.06.2018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 № 48-ГД;</w:t>
      </w:r>
    </w:p>
    <w:p w:rsidR="00ED05BC" w:rsidRDefault="00ED05BC" w:rsidP="00ED05BC">
      <w:pPr>
        <w:pStyle w:val="ConsPlusTitle"/>
        <w:numPr>
          <w:ilvl w:val="0"/>
          <w:numId w:val="21"/>
        </w:numPr>
        <w:spacing w:line="360" w:lineRule="auto"/>
        <w:ind w:left="0" w:right="-285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1E6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1E67">
        <w:rPr>
          <w:rFonts w:ascii="Times New Roman" w:hAnsi="Times New Roman" w:cs="Times New Roman"/>
          <w:b w:val="0"/>
          <w:sz w:val="28"/>
          <w:szCs w:val="28"/>
        </w:rPr>
        <w:t>Пра</w:t>
      </w:r>
      <w:r>
        <w:rPr>
          <w:rFonts w:ascii="Times New Roman" w:hAnsi="Times New Roman" w:cs="Times New Roman"/>
          <w:b w:val="0"/>
          <w:sz w:val="28"/>
          <w:szCs w:val="28"/>
        </w:rPr>
        <w:t>вительства РФ от 25 июня 2021 года</w:t>
      </w:r>
      <w:r w:rsidRPr="002E1E67">
        <w:rPr>
          <w:rFonts w:ascii="Times New Roman" w:hAnsi="Times New Roman" w:cs="Times New Roman"/>
          <w:b w:val="0"/>
          <w:sz w:val="28"/>
          <w:szCs w:val="28"/>
        </w:rPr>
        <w:t xml:space="preserve"> N 990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разработки и утверждения контрольными (надзорными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рганами программы профилактики рисков причинения вреда (ущерба) охраняемым законом ценностям»;</w:t>
      </w:r>
    </w:p>
    <w:p w:rsidR="00B516D7" w:rsidRPr="00ED05BC" w:rsidRDefault="00ED05BC" w:rsidP="00ED05BC">
      <w:pPr>
        <w:pStyle w:val="ConsPlusTitle"/>
        <w:numPr>
          <w:ilvl w:val="0"/>
          <w:numId w:val="21"/>
        </w:numPr>
        <w:spacing w:line="360" w:lineRule="auto"/>
        <w:ind w:left="0" w:right="-285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1E67">
        <w:rPr>
          <w:rFonts w:ascii="Times New Roman" w:hAnsi="Times New Roman" w:cs="Times New Roman"/>
          <w:b w:val="0"/>
          <w:sz w:val="28"/>
          <w:szCs w:val="28"/>
        </w:rPr>
        <w:t>Правила благоустройств</w:t>
      </w:r>
      <w:r>
        <w:rPr>
          <w:rFonts w:ascii="Times New Roman" w:hAnsi="Times New Roman" w:cs="Times New Roman"/>
          <w:b w:val="0"/>
          <w:sz w:val="28"/>
          <w:szCs w:val="28"/>
        </w:rPr>
        <w:t>а территории городского округа Кинель Самарской области, утверждённые решением Думы городского округа Кинель Самарской области от 28.06.2018 года № 364.</w:t>
      </w:r>
    </w:p>
    <w:p w:rsid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166D8F" w:rsidRDefault="00166D8F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166D8F" w:rsidRDefault="00166D8F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166D8F" w:rsidRPr="008E2CFC" w:rsidRDefault="00166D8F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lastRenderedPageBreak/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Реализация полномочий муниципального контроля осуществляется при соблюдении основных </w:t>
      </w:r>
      <w:r w:rsidR="005911BB">
        <w:rPr>
          <w:szCs w:val="28"/>
        </w:rPr>
        <w:t>принципов</w:t>
      </w:r>
      <w:r w:rsidRPr="008E2CFC">
        <w:rPr>
          <w:szCs w:val="28"/>
        </w:rPr>
        <w:t xml:space="preserve"> муниципального контроля: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</w:t>
      </w:r>
      <w:bookmarkStart w:id="1" w:name="_GoBack"/>
      <w:bookmarkEnd w:id="1"/>
      <w:r w:rsidRPr="008E2CFC">
        <w:rPr>
          <w:szCs w:val="28"/>
        </w:rPr>
        <w:t>лжностных лиц;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Охраны прав и законных интересов, </w:t>
      </w:r>
      <w:proofErr w:type="gramStart"/>
      <w:r w:rsidRPr="008E2CFC">
        <w:rPr>
          <w:szCs w:val="28"/>
        </w:rPr>
        <w:t>уважении</w:t>
      </w:r>
      <w:proofErr w:type="gramEnd"/>
      <w:r w:rsidRPr="008E2CFC">
        <w:rPr>
          <w:szCs w:val="28"/>
        </w:rPr>
        <w:t xml:space="preserve"> достоинства личности, деловой репутации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gramStart"/>
      <w:r w:rsidRPr="008E2CFC">
        <w:rPr>
          <w:szCs w:val="28"/>
        </w:rPr>
        <w:t xml:space="preserve"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</w:t>
      </w:r>
      <w:r w:rsidRPr="008E2CFC">
        <w:rPr>
          <w:szCs w:val="28"/>
        </w:rPr>
        <w:lastRenderedPageBreak/>
        <w:t>ответственности, применяемых при нарушении</w:t>
      </w:r>
      <w:proofErr w:type="gramEnd"/>
      <w:r w:rsidRPr="008E2CFC">
        <w:rPr>
          <w:szCs w:val="28"/>
        </w:rPr>
        <w:t xml:space="preserve"> обязательных требований, программа профилактики рисков причинения вреда.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spellStart"/>
      <w:proofErr w:type="gramStart"/>
      <w:r w:rsidRPr="008E2CFC">
        <w:rPr>
          <w:szCs w:val="28"/>
        </w:rPr>
        <w:t>Единообразность</w:t>
      </w:r>
      <w:proofErr w:type="spellEnd"/>
      <w:r w:rsidRPr="008E2CFC">
        <w:rPr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  которых осуществляется в рамках муниципального контроля.</w:t>
      </w:r>
      <w:proofErr w:type="gramEnd"/>
    </w:p>
    <w:p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53C6E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8E2CFC" w:rsidRPr="008E2CFC" w:rsidRDefault="008E2CFC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t>Выявление типичных нарушений обязательных требований, подлежащих проверке в рамках осуществления регионального государственного экологического контроля (надзора), причин, факторов и условий, способствующих возникновению указанных нарушений.</w:t>
      </w:r>
    </w:p>
    <w:p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/>
          <w:bCs/>
          <w:szCs w:val="28"/>
        </w:rPr>
      </w:pPr>
      <w:r w:rsidRPr="008E2CFC">
        <w:rPr>
          <w:bCs/>
          <w:szCs w:val="28"/>
        </w:rPr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253C6E" w:rsidRPr="008E2CFC" w:rsidRDefault="008E2CFC" w:rsidP="008E2C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</w:t>
      </w:r>
      <w:r w:rsidR="00253C6E" w:rsidRPr="008E2CFC">
        <w:rPr>
          <w:szCs w:val="28"/>
        </w:rPr>
        <w:lastRenderedPageBreak/>
        <w:t>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:rsidR="000D1D72" w:rsidRDefault="000D1D72" w:rsidP="008E2CFC">
      <w:pPr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 20</w:t>
      </w:r>
      <w:r>
        <w:rPr>
          <w:szCs w:val="28"/>
        </w:rPr>
        <w:t>22 год п</w:t>
      </w:r>
      <w:r w:rsidRPr="00783142">
        <w:rPr>
          <w:szCs w:val="28"/>
        </w:rPr>
        <w:t>роведен</w:t>
      </w:r>
      <w:r>
        <w:rPr>
          <w:szCs w:val="28"/>
        </w:rPr>
        <w:t xml:space="preserve">о две конференции </w:t>
      </w:r>
      <w:r w:rsidRPr="00783142">
        <w:rPr>
          <w:szCs w:val="28"/>
        </w:rPr>
        <w:t xml:space="preserve">в рамках осуществления муниципального контроля, на котором обсуждались актуальные вопросы соблюдения обязательных требований, требований, </w:t>
      </w:r>
      <w:r w:rsidRPr="00904F49">
        <w:rPr>
          <w:szCs w:val="28"/>
        </w:rPr>
        <w:t>установленных муниципальными правовыми актами.</w:t>
      </w:r>
      <w:r w:rsidRPr="00904F49"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Обсуждались вопросы применения </w:t>
      </w:r>
      <w:r>
        <w:rPr>
          <w:szCs w:val="28"/>
        </w:rPr>
        <w:t>от 31.07.2020 г.</w:t>
      </w:r>
      <w:r w:rsidRPr="00691794">
        <w:rPr>
          <w:szCs w:val="28"/>
        </w:rPr>
        <w:t xml:space="preserve"> </w:t>
      </w:r>
      <w:r>
        <w:rPr>
          <w:szCs w:val="28"/>
        </w:rPr>
        <w:t>248-</w:t>
      </w:r>
      <w:r w:rsidRPr="00691794">
        <w:rPr>
          <w:szCs w:val="28"/>
        </w:rPr>
        <w:t>ФЗ</w:t>
      </w:r>
      <w:r>
        <w:rPr>
          <w:szCs w:val="28"/>
        </w:rPr>
        <w:t xml:space="preserve"> </w:t>
      </w:r>
      <w:r w:rsidRPr="00691794">
        <w:rPr>
          <w:color w:val="000000"/>
          <w:szCs w:val="28"/>
          <w:shd w:val="clear" w:color="auto" w:fill="FFFFFF"/>
        </w:rPr>
        <w:t>«О государственном контроле</w:t>
      </w:r>
      <w:r>
        <w:rPr>
          <w:color w:val="000000"/>
          <w:szCs w:val="28"/>
          <w:shd w:val="clear" w:color="auto" w:fill="FFFFFF"/>
        </w:rPr>
        <w:t xml:space="preserve"> </w:t>
      </w:r>
      <w:r w:rsidRPr="00691794">
        <w:rPr>
          <w:color w:val="000000"/>
          <w:szCs w:val="28"/>
          <w:shd w:val="clear" w:color="auto" w:fill="FFFFFF"/>
        </w:rPr>
        <w:t>(надзоре) и муниципальном контроле в Российской Федерации»</w:t>
      </w:r>
      <w:r>
        <w:rPr>
          <w:color w:val="000000"/>
          <w:szCs w:val="28"/>
          <w:shd w:val="clear" w:color="auto" w:fill="FFFFFF"/>
        </w:rPr>
        <w:t>.</w:t>
      </w:r>
      <w:r w:rsidRPr="00691794">
        <w:rPr>
          <w:color w:val="000000"/>
          <w:szCs w:val="28"/>
          <w:shd w:val="clear" w:color="auto" w:fill="FFFFFF"/>
        </w:rPr>
        <w:t> </w:t>
      </w:r>
    </w:p>
    <w:p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 xml:space="preserve">В течение 2022 года в рамках осуществления муниципального контроля проводились профилактические мероприятия, направленные на предупреждение нарушений обязательных требований. Специалистом по муниципальному контролю проведено </w:t>
      </w:r>
      <w:r w:rsidR="000D1D72">
        <w:rPr>
          <w:szCs w:val="28"/>
        </w:rPr>
        <w:t xml:space="preserve">206 рейдовых осмотров и </w:t>
      </w:r>
      <w:r w:rsidRPr="008E2CFC">
        <w:rPr>
          <w:szCs w:val="28"/>
        </w:rPr>
        <w:t>контрольно-надзорн</w:t>
      </w:r>
      <w:r w:rsidR="000D1D72">
        <w:rPr>
          <w:szCs w:val="28"/>
        </w:rPr>
        <w:t>ых мероприятий</w:t>
      </w:r>
      <w:r w:rsidRPr="008E2CFC">
        <w:rPr>
          <w:szCs w:val="28"/>
        </w:rPr>
        <w:t xml:space="preserve"> без взаимодействия с контролируемыми лицами, в ходе которого в адрес </w:t>
      </w:r>
      <w:r w:rsidR="000D1D72">
        <w:rPr>
          <w:szCs w:val="28"/>
        </w:rPr>
        <w:t>юридических лиц, индивидуальных предпринимателей и физических лиц</w:t>
      </w:r>
      <w:r w:rsidRPr="008E2CFC">
        <w:rPr>
          <w:szCs w:val="28"/>
        </w:rPr>
        <w:t xml:space="preserve"> было объявлено</w:t>
      </w:r>
      <w:r w:rsidR="000D1D72">
        <w:rPr>
          <w:szCs w:val="28"/>
        </w:rPr>
        <w:t xml:space="preserve"> 16 предостережений</w:t>
      </w:r>
      <w:r w:rsidRPr="008E2CFC">
        <w:rPr>
          <w:szCs w:val="28"/>
        </w:rPr>
        <w:t>.</w:t>
      </w:r>
      <w:r w:rsidR="000D1D72" w:rsidRPr="000D1D72">
        <w:t xml:space="preserve"> </w:t>
      </w:r>
      <w:r w:rsidR="000D1D72" w:rsidRPr="000D1D72">
        <w:rPr>
          <w:szCs w:val="28"/>
        </w:rPr>
        <w:t>П</w:t>
      </w:r>
      <w:r w:rsidR="000D1D72">
        <w:rPr>
          <w:szCs w:val="28"/>
        </w:rPr>
        <w:t>одготовлены п</w:t>
      </w:r>
      <w:r w:rsidR="000D1D72" w:rsidRPr="000D1D72">
        <w:rPr>
          <w:szCs w:val="28"/>
        </w:rPr>
        <w:t xml:space="preserve">ротоколы об административных правонарушениях </w:t>
      </w:r>
      <w:r w:rsidR="000D1D72">
        <w:rPr>
          <w:szCs w:val="28"/>
        </w:rPr>
        <w:t xml:space="preserve">в количестве – </w:t>
      </w:r>
      <w:r w:rsidR="000D1D72" w:rsidRPr="000D1D72">
        <w:rPr>
          <w:szCs w:val="28"/>
        </w:rPr>
        <w:t>165</w:t>
      </w:r>
      <w:r w:rsidR="000D1D72">
        <w:rPr>
          <w:szCs w:val="28"/>
        </w:rPr>
        <w:t>.</w:t>
      </w:r>
    </w:p>
    <w:p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области муниципального контроля в 2022 году проведена следующая работа:</w:t>
      </w:r>
    </w:p>
    <w:p w:rsidR="00253C6E" w:rsidRP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На официальном сайте администрации городского округа Кинель размещен перечень нормативных правовых актов, содержащих обязательные требования;</w:t>
      </w:r>
    </w:p>
    <w:p w:rsid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Осуществлено информирование контролируемых лиц о необходимости соблюдения обязательных требований.</w:t>
      </w:r>
    </w:p>
    <w:p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об актуализации обязательных требований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Default="008E2CFC" w:rsidP="000D1D72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:rsidR="000D1D72" w:rsidRPr="000D1D72" w:rsidRDefault="000D1D72" w:rsidP="000D1D72">
      <w:pPr>
        <w:pStyle w:val="aa"/>
        <w:spacing w:line="360" w:lineRule="auto"/>
        <w:ind w:left="0" w:firstLine="709"/>
        <w:jc w:val="both"/>
        <w:rPr>
          <w:szCs w:val="28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:rsidR="008E2CFC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8E2CFC">
        <w:rPr>
          <w:szCs w:val="28"/>
        </w:rPr>
        <w:t>Для применения единой формы документов внести дополнения в Приказ Министерства экономического развития РФ от 31 марта 2021 г. № 151 «О типовых формах документов, используемых контрольным (надзорным) органом» и дополнить его бланками документов, которые используются в контрольно-надзорной деятельности органами местного самоуправления (Приказ (распоряжение), задание, предписание, протокол, протокол осмотра, протокол досмотра, протокол инструментального исследования, мотивированное представление, журналы и т.п.);</w:t>
      </w:r>
      <w:proofErr w:type="gramEnd"/>
    </w:p>
    <w:p w:rsidR="004C6BC7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В связи с введением моратория на проверки Постановление Правительства РФ от 10.03.2023 г. № 336 (ред. от 04.02.2023 г.),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Для повышения эффективности деятельности контрольно-надзорного органа необходимо внести изменение в Постановление Правительства РФ от 10.02.2017 г. № 166 (ред. от 21.03.2019) в части установления сроков.</w:t>
      </w:r>
    </w:p>
    <w:sectPr w:rsidR="004C6BC7" w:rsidRPr="008E2CFC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7EAC"/>
    <w:multiLevelType w:val="hybridMultilevel"/>
    <w:tmpl w:val="B042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B4EEF"/>
    <w:multiLevelType w:val="hybridMultilevel"/>
    <w:tmpl w:val="B042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71118D"/>
    <w:multiLevelType w:val="hybridMultilevel"/>
    <w:tmpl w:val="0AAE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583AA1"/>
    <w:multiLevelType w:val="hybridMultilevel"/>
    <w:tmpl w:val="BF5EF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>
    <w:nsid w:val="73C47715"/>
    <w:multiLevelType w:val="hybridMultilevel"/>
    <w:tmpl w:val="B1D0F2CE"/>
    <w:lvl w:ilvl="0" w:tplc="28C457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5"/>
  </w:num>
  <w:num w:numId="5">
    <w:abstractNumId w:val="22"/>
  </w:num>
  <w:num w:numId="6">
    <w:abstractNumId w:val="1"/>
  </w:num>
  <w:num w:numId="7">
    <w:abstractNumId w:val="8"/>
  </w:num>
  <w:num w:numId="8">
    <w:abstractNumId w:val="14"/>
  </w:num>
  <w:num w:numId="9">
    <w:abstractNumId w:val="25"/>
  </w:num>
  <w:num w:numId="10">
    <w:abstractNumId w:val="21"/>
  </w:num>
  <w:num w:numId="11">
    <w:abstractNumId w:val="7"/>
  </w:num>
  <w:num w:numId="12">
    <w:abstractNumId w:val="10"/>
  </w:num>
  <w:num w:numId="13">
    <w:abstractNumId w:val="28"/>
  </w:num>
  <w:num w:numId="14">
    <w:abstractNumId w:val="4"/>
  </w:num>
  <w:num w:numId="15">
    <w:abstractNumId w:val="23"/>
  </w:num>
  <w:num w:numId="16">
    <w:abstractNumId w:val="30"/>
  </w:num>
  <w:num w:numId="17">
    <w:abstractNumId w:val="27"/>
  </w:num>
  <w:num w:numId="18">
    <w:abstractNumId w:val="18"/>
  </w:num>
  <w:num w:numId="19">
    <w:abstractNumId w:val="16"/>
  </w:num>
  <w:num w:numId="20">
    <w:abstractNumId w:val="17"/>
  </w:num>
  <w:num w:numId="21">
    <w:abstractNumId w:val="13"/>
  </w:num>
  <w:num w:numId="22">
    <w:abstractNumId w:val="6"/>
  </w:num>
  <w:num w:numId="23">
    <w:abstractNumId w:val="33"/>
  </w:num>
  <w:num w:numId="24">
    <w:abstractNumId w:val="11"/>
  </w:num>
  <w:num w:numId="25">
    <w:abstractNumId w:val="29"/>
  </w:num>
  <w:num w:numId="26">
    <w:abstractNumId w:val="24"/>
  </w:num>
  <w:num w:numId="27">
    <w:abstractNumId w:val="3"/>
  </w:num>
  <w:num w:numId="28">
    <w:abstractNumId w:val="20"/>
  </w:num>
  <w:num w:numId="29">
    <w:abstractNumId w:val="31"/>
  </w:num>
  <w:num w:numId="30">
    <w:abstractNumId w:val="26"/>
  </w:num>
  <w:num w:numId="31">
    <w:abstractNumId w:val="0"/>
  </w:num>
  <w:num w:numId="32">
    <w:abstractNumId w:val="19"/>
  </w:num>
  <w:num w:numId="33">
    <w:abstractNumId w:val="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1D72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66D8F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11BB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3814"/>
    <w:rsid w:val="008656DF"/>
    <w:rsid w:val="00872492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2735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6CD5"/>
    <w:rsid w:val="00D85E27"/>
    <w:rsid w:val="00DA2B5A"/>
    <w:rsid w:val="00DB1850"/>
    <w:rsid w:val="00DB7D2B"/>
    <w:rsid w:val="00DC138F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05BC"/>
    <w:rsid w:val="00ED6741"/>
    <w:rsid w:val="00ED7D7D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19C6-ED5B-40D2-82E2-D40B9200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4</cp:revision>
  <cp:lastPrinted>2023-04-18T12:04:00Z</cp:lastPrinted>
  <dcterms:created xsi:type="dcterms:W3CDTF">2023-04-17T10:09:00Z</dcterms:created>
  <dcterms:modified xsi:type="dcterms:W3CDTF">2023-04-18T12:04:00Z</dcterms:modified>
</cp:coreProperties>
</file>