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994"/>
        <w:gridCol w:w="4394"/>
      </w:tblGrid>
      <w:tr w:rsidR="009A5DE4" w:rsidRPr="00BE31A4" w:rsidTr="00A05C14">
        <w:trPr>
          <w:trHeight w:val="2340"/>
        </w:trPr>
        <w:tc>
          <w:tcPr>
            <w:tcW w:w="5018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9A5DE4" w:rsidRPr="008F3469" w:rsidRDefault="009A5DE4" w:rsidP="00DB5F2F">
            <w:pPr>
              <w:spacing w:line="240" w:lineRule="auto"/>
              <w:jc w:val="center"/>
              <w:rPr>
                <w:color w:val="FF0000"/>
                <w:sz w:val="28"/>
                <w:szCs w:val="20"/>
              </w:rPr>
            </w:pPr>
          </w:p>
        </w:tc>
      </w:tr>
      <w:tr w:rsidR="009A5DE4" w:rsidRPr="00BE31A4" w:rsidTr="00A05C14">
        <w:trPr>
          <w:trHeight w:val="345"/>
        </w:trPr>
        <w:tc>
          <w:tcPr>
            <w:tcW w:w="906" w:type="dxa"/>
            <w:vAlign w:val="bottom"/>
          </w:tcPr>
          <w:p w:rsidR="009A5DE4" w:rsidRPr="00030E91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030E91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030E91" w:rsidRDefault="00030E91" w:rsidP="00030E9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30E91">
              <w:rPr>
                <w:sz w:val="28"/>
                <w:szCs w:val="28"/>
              </w:rPr>
              <w:t>16.03.2022</w:t>
            </w:r>
          </w:p>
        </w:tc>
        <w:tc>
          <w:tcPr>
            <w:tcW w:w="567" w:type="dxa"/>
            <w:vAlign w:val="bottom"/>
          </w:tcPr>
          <w:p w:rsidR="009A5DE4" w:rsidRPr="00030E91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030E91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030E91" w:rsidRDefault="00030E91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30E91">
              <w:rPr>
                <w:sz w:val="28"/>
                <w:szCs w:val="28"/>
              </w:rPr>
              <w:t>626</w:t>
            </w:r>
          </w:p>
        </w:tc>
        <w:tc>
          <w:tcPr>
            <w:tcW w:w="994" w:type="dxa"/>
            <w:vAlign w:val="bottom"/>
          </w:tcPr>
          <w:p w:rsidR="009A5DE4" w:rsidRPr="00030E91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A05C14">
        <w:trPr>
          <w:trHeight w:val="365"/>
        </w:trPr>
        <w:tc>
          <w:tcPr>
            <w:tcW w:w="5018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394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A05C14">
        <w:trPr>
          <w:gridAfter w:val="1"/>
          <w:wAfter w:w="4394" w:type="dxa"/>
          <w:trHeight w:val="600"/>
        </w:trPr>
        <w:tc>
          <w:tcPr>
            <w:tcW w:w="5018" w:type="dxa"/>
            <w:gridSpan w:val="5"/>
          </w:tcPr>
          <w:p w:rsidR="00A21BEB" w:rsidRPr="00BE31A4" w:rsidRDefault="00A05C14" w:rsidP="006613D4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A05C14">
              <w:rPr>
                <w:sz w:val="28"/>
                <w:szCs w:val="26"/>
              </w:rPr>
              <w:t>Об утверждении отчета об исполне</w:t>
            </w:r>
            <w:r>
              <w:rPr>
                <w:sz w:val="28"/>
                <w:szCs w:val="26"/>
              </w:rPr>
              <w:t xml:space="preserve">нии </w:t>
            </w:r>
            <w:r w:rsidRPr="00A05C14">
              <w:rPr>
                <w:sz w:val="28"/>
                <w:szCs w:val="26"/>
              </w:rPr>
              <w:t>муниципальной программы город</w:t>
            </w:r>
            <w:r>
              <w:rPr>
                <w:sz w:val="28"/>
                <w:szCs w:val="26"/>
              </w:rPr>
              <w:t xml:space="preserve">ского </w:t>
            </w:r>
            <w:r w:rsidRPr="00A05C14">
              <w:rPr>
                <w:sz w:val="28"/>
                <w:szCs w:val="26"/>
              </w:rPr>
              <w:t>округа Кинель</w:t>
            </w:r>
            <w:r w:rsidRPr="00A05C14">
              <w:rPr>
                <w:color w:val="FFFFFF" w:themeColor="background1"/>
                <w:sz w:val="28"/>
                <w:szCs w:val="26"/>
              </w:rPr>
              <w:t>1</w:t>
            </w:r>
            <w:r w:rsidRPr="00A05C14">
              <w:rPr>
                <w:sz w:val="28"/>
                <w:szCs w:val="26"/>
              </w:rPr>
              <w:t>Самарской</w:t>
            </w:r>
            <w:r w:rsidRPr="00A05C14">
              <w:rPr>
                <w:color w:val="FFFFFF" w:themeColor="background1"/>
                <w:sz w:val="28"/>
                <w:szCs w:val="26"/>
              </w:rPr>
              <w:t>1</w:t>
            </w:r>
            <w:r w:rsidRPr="00A05C14">
              <w:rPr>
                <w:sz w:val="28"/>
                <w:szCs w:val="26"/>
              </w:rPr>
              <w:t>области «Предупреждение чрезвычайных с</w:t>
            </w:r>
            <w:r w:rsidRPr="00A05C14">
              <w:rPr>
                <w:sz w:val="28"/>
                <w:szCs w:val="26"/>
              </w:rPr>
              <w:t>и</w:t>
            </w:r>
            <w:r w:rsidRPr="00A05C14">
              <w:rPr>
                <w:sz w:val="28"/>
                <w:szCs w:val="26"/>
              </w:rPr>
              <w:t>туаций и снижение масштабов после</w:t>
            </w:r>
            <w:r w:rsidRPr="00A05C14">
              <w:rPr>
                <w:sz w:val="28"/>
                <w:szCs w:val="26"/>
              </w:rPr>
              <w:t>д</w:t>
            </w:r>
            <w:r w:rsidRPr="00A05C14">
              <w:rPr>
                <w:sz w:val="28"/>
                <w:szCs w:val="26"/>
              </w:rPr>
              <w:t>ствий при их возникновении на терр</w:t>
            </w:r>
            <w:r w:rsidRPr="00A05C14">
              <w:rPr>
                <w:sz w:val="28"/>
                <w:szCs w:val="26"/>
              </w:rPr>
              <w:t>и</w:t>
            </w:r>
            <w:r w:rsidRPr="00A05C14">
              <w:rPr>
                <w:sz w:val="28"/>
                <w:szCs w:val="26"/>
              </w:rPr>
              <w:t>тории городского округа Кинель С</w:t>
            </w:r>
            <w:r w:rsidRPr="00A05C14">
              <w:rPr>
                <w:sz w:val="28"/>
                <w:szCs w:val="26"/>
              </w:rPr>
              <w:t>а</w:t>
            </w:r>
            <w:r w:rsidRPr="00A05C14">
              <w:rPr>
                <w:sz w:val="28"/>
                <w:szCs w:val="26"/>
              </w:rPr>
              <w:t>марской области на 2018-2022 годы» за 2021 год, утвержденной постановлен</w:t>
            </w:r>
            <w:r w:rsidRPr="00A05C14">
              <w:rPr>
                <w:sz w:val="28"/>
                <w:szCs w:val="26"/>
              </w:rPr>
              <w:t>и</w:t>
            </w:r>
            <w:r w:rsidRPr="00A05C14">
              <w:rPr>
                <w:sz w:val="28"/>
                <w:szCs w:val="26"/>
              </w:rPr>
              <w:t>ем администрации городского округа Кинель Самарской области от 1 августа 2017 г. № 2351 (в редакции от 29 д</w:t>
            </w:r>
            <w:r w:rsidRPr="00A05C14">
              <w:rPr>
                <w:sz w:val="28"/>
                <w:szCs w:val="26"/>
              </w:rPr>
              <w:t>е</w:t>
            </w:r>
            <w:r w:rsidR="006613D4">
              <w:rPr>
                <w:sz w:val="28"/>
                <w:szCs w:val="26"/>
              </w:rPr>
              <w:t>кабря 2021 г.</w:t>
            </w:r>
            <w:r w:rsidRPr="00A05C14">
              <w:rPr>
                <w:sz w:val="28"/>
                <w:szCs w:val="26"/>
              </w:rPr>
              <w:t>)</w:t>
            </w:r>
          </w:p>
        </w:tc>
      </w:tr>
      <w:tr w:rsidR="00297F3C" w:rsidRPr="00BE31A4" w:rsidTr="00A05C14">
        <w:trPr>
          <w:gridAfter w:val="1"/>
          <w:wAfter w:w="4394" w:type="dxa"/>
          <w:trHeight w:val="600"/>
        </w:trPr>
        <w:tc>
          <w:tcPr>
            <w:tcW w:w="5018" w:type="dxa"/>
            <w:gridSpan w:val="5"/>
          </w:tcPr>
          <w:p w:rsidR="00297F3C" w:rsidRDefault="00297F3C" w:rsidP="00AB2A42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3B0857" w:rsidRPr="003F553D" w:rsidRDefault="00C25828" w:rsidP="005E5DCD">
      <w:pPr>
        <w:ind w:firstLine="708"/>
        <w:rPr>
          <w:sz w:val="28"/>
          <w:szCs w:val="28"/>
        </w:rPr>
      </w:pPr>
      <w:r w:rsidRPr="00C25828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="00F719DB">
        <w:rPr>
          <w:sz w:val="28"/>
          <w:szCs w:val="28"/>
        </w:rPr>
        <w:t xml:space="preserve"> с </w:t>
      </w:r>
      <w:r w:rsidR="000E5A96">
        <w:rPr>
          <w:sz w:val="28"/>
          <w:szCs w:val="28"/>
        </w:rPr>
        <w:t xml:space="preserve">постановлением </w:t>
      </w:r>
      <w:r w:rsidR="00864BAD">
        <w:rPr>
          <w:sz w:val="28"/>
          <w:szCs w:val="28"/>
        </w:rPr>
        <w:t>администрации городского округа К</w:t>
      </w:r>
      <w:r w:rsidR="00864BAD">
        <w:rPr>
          <w:sz w:val="28"/>
          <w:szCs w:val="28"/>
        </w:rPr>
        <w:t>и</w:t>
      </w:r>
      <w:r w:rsidR="00864BAD">
        <w:rPr>
          <w:sz w:val="28"/>
          <w:szCs w:val="28"/>
        </w:rPr>
        <w:t>нель</w:t>
      </w:r>
      <w:r w:rsidR="001305B6">
        <w:rPr>
          <w:sz w:val="28"/>
          <w:szCs w:val="28"/>
        </w:rPr>
        <w:t xml:space="preserve"> Самарской области</w:t>
      </w:r>
      <w:r w:rsidR="00864BAD">
        <w:rPr>
          <w:sz w:val="28"/>
          <w:szCs w:val="28"/>
        </w:rPr>
        <w:t xml:space="preserve"> от </w:t>
      </w:r>
      <w:r w:rsidR="00A05C14">
        <w:rPr>
          <w:sz w:val="28"/>
          <w:szCs w:val="28"/>
        </w:rPr>
        <w:t>07.03.2014 года</w:t>
      </w:r>
      <w:r w:rsidR="00864BAD">
        <w:rPr>
          <w:sz w:val="28"/>
          <w:szCs w:val="28"/>
        </w:rPr>
        <w:t xml:space="preserve"> </w:t>
      </w:r>
      <w:r w:rsidR="00864BAD" w:rsidRPr="00864BAD">
        <w:rPr>
          <w:sz w:val="28"/>
          <w:szCs w:val="28"/>
        </w:rPr>
        <w:t>№</w:t>
      </w:r>
      <w:r w:rsidR="000E5A96">
        <w:rPr>
          <w:sz w:val="28"/>
          <w:szCs w:val="28"/>
        </w:rPr>
        <w:t xml:space="preserve"> 710</w:t>
      </w:r>
      <w:r w:rsidR="00864BAD" w:rsidRPr="00864BAD">
        <w:rPr>
          <w:sz w:val="28"/>
          <w:szCs w:val="28"/>
        </w:rPr>
        <w:t xml:space="preserve"> </w:t>
      </w:r>
      <w:r w:rsidR="00864BAD">
        <w:rPr>
          <w:sz w:val="28"/>
          <w:szCs w:val="28"/>
        </w:rPr>
        <w:t>«</w:t>
      </w:r>
      <w:r w:rsidR="00864BAD" w:rsidRPr="00650081">
        <w:rPr>
          <w:sz w:val="28"/>
          <w:szCs w:val="22"/>
        </w:rPr>
        <w:t xml:space="preserve">Об утверждении </w:t>
      </w:r>
      <w:r w:rsidR="000E5A96">
        <w:rPr>
          <w:sz w:val="28"/>
          <w:szCs w:val="22"/>
        </w:rPr>
        <w:t>Порядка</w:t>
      </w:r>
      <w:r w:rsidR="00864BAD">
        <w:rPr>
          <w:sz w:val="28"/>
          <w:szCs w:val="22"/>
        </w:rPr>
        <w:t xml:space="preserve"> </w:t>
      </w:r>
      <w:r w:rsidR="000E5A96">
        <w:rPr>
          <w:sz w:val="28"/>
          <w:szCs w:val="22"/>
        </w:rPr>
        <w:t>принятия решений о разработке, формирования и реализации, оценки эффе</w:t>
      </w:r>
      <w:r w:rsidR="000E5A96">
        <w:rPr>
          <w:sz w:val="28"/>
          <w:szCs w:val="22"/>
        </w:rPr>
        <w:t>к</w:t>
      </w:r>
      <w:r w:rsidR="000E5A96">
        <w:rPr>
          <w:sz w:val="28"/>
          <w:szCs w:val="22"/>
        </w:rPr>
        <w:t>тивности реализации муниципальных программ городского  округа Кинель</w:t>
      </w:r>
      <w:r w:rsidR="000E5A96">
        <w:rPr>
          <w:sz w:val="28"/>
          <w:szCs w:val="28"/>
        </w:rPr>
        <w:t>»</w:t>
      </w:r>
      <w:r w:rsidR="006547EA">
        <w:rPr>
          <w:sz w:val="28"/>
          <w:szCs w:val="28"/>
        </w:rPr>
        <w:t xml:space="preserve"> (в редакции от </w:t>
      </w:r>
      <w:r w:rsidR="00A05C14">
        <w:rPr>
          <w:sz w:val="28"/>
          <w:szCs w:val="28"/>
        </w:rPr>
        <w:t>27</w:t>
      </w:r>
      <w:r w:rsidR="006547EA">
        <w:rPr>
          <w:sz w:val="28"/>
          <w:szCs w:val="28"/>
        </w:rPr>
        <w:t xml:space="preserve"> </w:t>
      </w:r>
      <w:r w:rsidR="00A05C14">
        <w:rPr>
          <w:sz w:val="28"/>
          <w:szCs w:val="28"/>
        </w:rPr>
        <w:t>декабря</w:t>
      </w:r>
      <w:r w:rsidR="006547EA">
        <w:rPr>
          <w:sz w:val="28"/>
          <w:szCs w:val="28"/>
        </w:rPr>
        <w:t xml:space="preserve"> </w:t>
      </w:r>
      <w:r w:rsidR="00A05C14">
        <w:rPr>
          <w:sz w:val="28"/>
          <w:szCs w:val="28"/>
        </w:rPr>
        <w:t>2021</w:t>
      </w:r>
      <w:r w:rsidR="000778B5">
        <w:rPr>
          <w:sz w:val="28"/>
          <w:szCs w:val="28"/>
        </w:rPr>
        <w:t xml:space="preserve"> №</w:t>
      </w:r>
      <w:r w:rsidR="00A05C14">
        <w:rPr>
          <w:sz w:val="28"/>
          <w:szCs w:val="28"/>
        </w:rPr>
        <w:t xml:space="preserve"> 3766</w:t>
      </w:r>
      <w:r w:rsidR="000778B5">
        <w:rPr>
          <w:sz w:val="28"/>
          <w:szCs w:val="28"/>
        </w:rPr>
        <w:t>)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A05C14" w:rsidRPr="00A05C14" w:rsidRDefault="0002775D" w:rsidP="0002775D">
      <w:pPr>
        <w:pStyle w:val="af7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2775D">
        <w:rPr>
          <w:rFonts w:ascii="Times New Roman" w:hAnsi="Times New Roman" w:cs="Times New Roman"/>
          <w:sz w:val="28"/>
          <w:szCs w:val="26"/>
        </w:rPr>
        <w:t>1.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05C14" w:rsidRPr="00A05C14">
        <w:rPr>
          <w:rFonts w:ascii="Times New Roman" w:hAnsi="Times New Roman" w:cs="Times New Roman"/>
          <w:sz w:val="28"/>
          <w:szCs w:val="26"/>
        </w:rPr>
        <w:t>Утвердить отчет об исполнении муниципальной программы городского округа Кинель Самарской области «Предупреждение чрезвычайных ситуаций и снижение масштабов их последствий на территории городского округа Кинель на 2018-2022 годы» (далее Программа), утверждённой постановлением админ</w:t>
      </w:r>
      <w:r w:rsidR="00A05C14" w:rsidRPr="00A05C14">
        <w:rPr>
          <w:rFonts w:ascii="Times New Roman" w:hAnsi="Times New Roman" w:cs="Times New Roman"/>
          <w:sz w:val="28"/>
          <w:szCs w:val="26"/>
        </w:rPr>
        <w:t>и</w:t>
      </w:r>
      <w:r w:rsidR="00A05C14" w:rsidRPr="00A05C14">
        <w:rPr>
          <w:rFonts w:ascii="Times New Roman" w:hAnsi="Times New Roman" w:cs="Times New Roman"/>
          <w:sz w:val="28"/>
          <w:szCs w:val="26"/>
        </w:rPr>
        <w:t xml:space="preserve">страции городского округа Кинель Самарской области от 1 августа 2017 г. № 2351 (в редакции от </w:t>
      </w:r>
      <w:r w:rsidR="00A05C14">
        <w:rPr>
          <w:rFonts w:ascii="Times New Roman" w:hAnsi="Times New Roman" w:cs="Times New Roman"/>
          <w:sz w:val="28"/>
          <w:szCs w:val="26"/>
        </w:rPr>
        <w:t xml:space="preserve">29 декабря </w:t>
      </w:r>
      <w:r w:rsidR="00A05C14" w:rsidRPr="00A05C14">
        <w:rPr>
          <w:rFonts w:ascii="Times New Roman" w:hAnsi="Times New Roman" w:cs="Times New Roman"/>
          <w:sz w:val="28"/>
          <w:szCs w:val="26"/>
        </w:rPr>
        <w:t>2021 года), за 202</w:t>
      </w:r>
      <w:r w:rsidR="00A05C14">
        <w:rPr>
          <w:rFonts w:ascii="Times New Roman" w:hAnsi="Times New Roman" w:cs="Times New Roman"/>
          <w:sz w:val="28"/>
          <w:szCs w:val="26"/>
        </w:rPr>
        <w:t>1</w:t>
      </w:r>
      <w:r w:rsidR="00A05C14" w:rsidRPr="00A05C14">
        <w:rPr>
          <w:rFonts w:ascii="Times New Roman" w:hAnsi="Times New Roman" w:cs="Times New Roman"/>
          <w:sz w:val="28"/>
          <w:szCs w:val="26"/>
        </w:rPr>
        <w:t xml:space="preserve"> год согласно Приложению к настоящему постановлению.</w:t>
      </w:r>
    </w:p>
    <w:p w:rsidR="000E5A96" w:rsidRPr="0002775D" w:rsidRDefault="0002775D" w:rsidP="0002775D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5A96" w:rsidRPr="0002775D">
        <w:rPr>
          <w:sz w:val="28"/>
          <w:szCs w:val="28"/>
        </w:rPr>
        <w:t>Продолжить реализацию Программы.</w:t>
      </w:r>
    </w:p>
    <w:bookmarkEnd w:id="0"/>
    <w:p w:rsidR="001B58BF" w:rsidRPr="001B58BF" w:rsidRDefault="0002775D" w:rsidP="0002775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E5A96">
        <w:rPr>
          <w:sz w:val="28"/>
          <w:szCs w:val="28"/>
        </w:rPr>
        <w:t>Разместить</w:t>
      </w:r>
      <w:r w:rsidR="00A10106">
        <w:rPr>
          <w:sz w:val="28"/>
          <w:szCs w:val="28"/>
        </w:rPr>
        <w:t xml:space="preserve"> настоящее постановление </w:t>
      </w:r>
      <w:r w:rsidR="001B58BF" w:rsidRPr="001B58BF">
        <w:rPr>
          <w:sz w:val="28"/>
          <w:szCs w:val="28"/>
        </w:rPr>
        <w:t>в информационно-телекоммуникационной сети «Интернет»</w:t>
      </w:r>
      <w:r w:rsidR="00A10106">
        <w:rPr>
          <w:sz w:val="28"/>
          <w:szCs w:val="28"/>
        </w:rPr>
        <w:t xml:space="preserve"> на официальном сайте администрации городского округа Кинель Самарской области</w:t>
      </w:r>
      <w:r w:rsidR="001305B6">
        <w:rPr>
          <w:sz w:val="28"/>
          <w:szCs w:val="28"/>
        </w:rPr>
        <w:t xml:space="preserve"> (к</w:t>
      </w:r>
      <w:r w:rsidR="001B58BF" w:rsidRPr="001B58BF">
        <w:rPr>
          <w:sz w:val="28"/>
          <w:szCs w:val="28"/>
        </w:rPr>
        <w:t>инельгород.рф) в подразделе «</w:t>
      </w:r>
      <w:r w:rsidR="00A10106">
        <w:rPr>
          <w:sz w:val="28"/>
          <w:szCs w:val="28"/>
        </w:rPr>
        <w:t>Муниципальные программы и проекты</w:t>
      </w:r>
      <w:r w:rsidR="001B58BF" w:rsidRPr="001B58BF">
        <w:rPr>
          <w:sz w:val="28"/>
          <w:szCs w:val="28"/>
        </w:rPr>
        <w:t>» раздела «Информация».</w:t>
      </w:r>
    </w:p>
    <w:p w:rsidR="00151E46" w:rsidRDefault="00151E46" w:rsidP="001878A6">
      <w:pPr>
        <w:ind w:firstLine="0"/>
        <w:rPr>
          <w:sz w:val="28"/>
          <w:szCs w:val="28"/>
        </w:rPr>
      </w:pPr>
    </w:p>
    <w:p w:rsidR="001305B6" w:rsidRDefault="001305B6" w:rsidP="001878A6">
      <w:pPr>
        <w:ind w:firstLine="0"/>
        <w:rPr>
          <w:sz w:val="28"/>
          <w:szCs w:val="28"/>
        </w:rPr>
      </w:pPr>
    </w:p>
    <w:p w:rsidR="001B58BF" w:rsidRDefault="004A5154" w:rsidP="001878A6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3B0857" w:rsidRPr="003F55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1878A6">
        <w:rPr>
          <w:sz w:val="28"/>
          <w:szCs w:val="28"/>
        </w:rPr>
        <w:t xml:space="preserve">  </w:t>
      </w:r>
      <w:r w:rsidR="000778B5">
        <w:rPr>
          <w:sz w:val="28"/>
          <w:szCs w:val="28"/>
        </w:rPr>
        <w:t xml:space="preserve">    </w:t>
      </w:r>
      <w:r w:rsidR="00A05C14">
        <w:rPr>
          <w:sz w:val="28"/>
          <w:szCs w:val="28"/>
        </w:rPr>
        <w:t xml:space="preserve">   А</w:t>
      </w:r>
      <w:r w:rsidR="008157D0" w:rsidRPr="003F553D">
        <w:rPr>
          <w:sz w:val="28"/>
          <w:szCs w:val="28"/>
        </w:rPr>
        <w:t>.А.</w:t>
      </w:r>
      <w:r w:rsidR="00A05C14">
        <w:rPr>
          <w:sz w:val="28"/>
          <w:szCs w:val="28"/>
        </w:rPr>
        <w:t>Прокудин</w:t>
      </w:r>
    </w:p>
    <w:p w:rsidR="000778B5" w:rsidRDefault="000778B5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1305B6" w:rsidRDefault="001305B6" w:rsidP="0024574B">
      <w:pPr>
        <w:spacing w:line="240" w:lineRule="auto"/>
        <w:ind w:firstLine="0"/>
        <w:rPr>
          <w:sz w:val="28"/>
        </w:rPr>
      </w:pPr>
    </w:p>
    <w:p w:rsidR="00A05C14" w:rsidRDefault="00A05C14" w:rsidP="0024574B">
      <w:pPr>
        <w:spacing w:line="240" w:lineRule="auto"/>
        <w:ind w:firstLine="0"/>
        <w:rPr>
          <w:sz w:val="28"/>
        </w:rPr>
      </w:pPr>
    </w:p>
    <w:p w:rsidR="00A05C14" w:rsidRDefault="00A05C14" w:rsidP="0024574B">
      <w:pPr>
        <w:spacing w:line="240" w:lineRule="auto"/>
        <w:ind w:firstLine="0"/>
        <w:rPr>
          <w:sz w:val="28"/>
        </w:rPr>
      </w:pPr>
    </w:p>
    <w:p w:rsidR="00A05C14" w:rsidRDefault="00A05C14" w:rsidP="0024574B">
      <w:pPr>
        <w:spacing w:line="240" w:lineRule="auto"/>
        <w:ind w:firstLine="0"/>
        <w:rPr>
          <w:sz w:val="28"/>
        </w:rPr>
      </w:pPr>
    </w:p>
    <w:p w:rsidR="00A05C14" w:rsidRDefault="00A05C14" w:rsidP="0024574B">
      <w:pPr>
        <w:spacing w:line="240" w:lineRule="auto"/>
        <w:ind w:firstLine="0"/>
        <w:rPr>
          <w:sz w:val="28"/>
        </w:rPr>
      </w:pPr>
    </w:p>
    <w:p w:rsidR="00A05C14" w:rsidRDefault="00A05C14" w:rsidP="0024574B">
      <w:pPr>
        <w:spacing w:line="240" w:lineRule="auto"/>
        <w:ind w:firstLine="0"/>
        <w:rPr>
          <w:sz w:val="28"/>
        </w:rPr>
      </w:pPr>
    </w:p>
    <w:p w:rsidR="00966045" w:rsidRDefault="00A05C14" w:rsidP="0024574B">
      <w:pPr>
        <w:spacing w:line="240" w:lineRule="auto"/>
        <w:ind w:firstLine="0"/>
        <w:rPr>
          <w:sz w:val="28"/>
        </w:rPr>
      </w:pPr>
      <w:r>
        <w:rPr>
          <w:sz w:val="28"/>
        </w:rPr>
        <w:t>Слезко 21557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02775D" w:rsidRPr="003401A8" w:rsidTr="003B2465">
        <w:tc>
          <w:tcPr>
            <w:tcW w:w="4842" w:type="dxa"/>
          </w:tcPr>
          <w:p w:rsidR="0002775D" w:rsidRPr="003401A8" w:rsidRDefault="0002775D" w:rsidP="0002775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</w:tcPr>
          <w:p w:rsidR="0002775D" w:rsidRPr="003401A8" w:rsidRDefault="0002775D" w:rsidP="0002775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3401A8">
              <w:rPr>
                <w:sz w:val="28"/>
                <w:szCs w:val="28"/>
              </w:rPr>
              <w:t>Приложение</w:t>
            </w:r>
          </w:p>
          <w:p w:rsidR="0002775D" w:rsidRPr="003401A8" w:rsidRDefault="0002775D" w:rsidP="0002775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3401A8">
              <w:rPr>
                <w:sz w:val="28"/>
                <w:szCs w:val="28"/>
              </w:rPr>
              <w:t>к постановлению администрации</w:t>
            </w:r>
          </w:p>
          <w:p w:rsidR="0002775D" w:rsidRPr="003401A8" w:rsidRDefault="0002775D" w:rsidP="0002775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3401A8">
              <w:rPr>
                <w:sz w:val="28"/>
                <w:szCs w:val="28"/>
              </w:rPr>
              <w:t>городского округа Кинель</w:t>
            </w:r>
          </w:p>
          <w:p w:rsidR="0002775D" w:rsidRPr="003401A8" w:rsidRDefault="0002775D" w:rsidP="0002775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3401A8">
              <w:rPr>
                <w:sz w:val="28"/>
                <w:szCs w:val="28"/>
              </w:rPr>
              <w:t>Самарской области</w:t>
            </w:r>
          </w:p>
          <w:p w:rsidR="0002775D" w:rsidRPr="003401A8" w:rsidRDefault="0002775D" w:rsidP="0002775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02775D" w:rsidRPr="003401A8" w:rsidRDefault="0002775D" w:rsidP="0002775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30E91">
              <w:rPr>
                <w:sz w:val="28"/>
                <w:szCs w:val="28"/>
              </w:rPr>
              <w:t>16.03.</w:t>
            </w:r>
            <w:r w:rsidRPr="00340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3401A8">
              <w:rPr>
                <w:sz w:val="28"/>
                <w:szCs w:val="28"/>
              </w:rPr>
              <w:t xml:space="preserve"> г. №  </w:t>
            </w:r>
            <w:r w:rsidR="00030E91">
              <w:rPr>
                <w:sz w:val="28"/>
                <w:szCs w:val="28"/>
              </w:rPr>
              <w:t>626</w:t>
            </w:r>
          </w:p>
          <w:p w:rsidR="0002775D" w:rsidRPr="003401A8" w:rsidRDefault="0002775D" w:rsidP="0002775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7A1" w:rsidRDefault="001967A1" w:rsidP="001967A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A1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муниципальной программы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15A1">
        <w:rPr>
          <w:rFonts w:ascii="Times New Roman" w:hAnsi="Times New Roman" w:cs="Times New Roman"/>
          <w:b/>
          <w:sz w:val="28"/>
          <w:szCs w:val="28"/>
        </w:rPr>
        <w:t>Предупреждение чрезвычайных ситуаций и снижение масштабов после</w:t>
      </w:r>
      <w:r w:rsidRPr="00EB15A1">
        <w:rPr>
          <w:rFonts w:ascii="Times New Roman" w:hAnsi="Times New Roman" w:cs="Times New Roman"/>
          <w:b/>
          <w:sz w:val="28"/>
          <w:szCs w:val="28"/>
        </w:rPr>
        <w:t>д</w:t>
      </w:r>
      <w:r w:rsidRPr="00EB15A1">
        <w:rPr>
          <w:rFonts w:ascii="Times New Roman" w:hAnsi="Times New Roman" w:cs="Times New Roman"/>
          <w:b/>
          <w:sz w:val="28"/>
          <w:szCs w:val="28"/>
        </w:rPr>
        <w:t xml:space="preserve">ствий при их возникновении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  <w:r w:rsidRPr="00EB15A1">
        <w:rPr>
          <w:rFonts w:ascii="Times New Roman" w:hAnsi="Times New Roman" w:cs="Times New Roman"/>
          <w:b/>
          <w:sz w:val="28"/>
          <w:szCs w:val="28"/>
        </w:rPr>
        <w:t>Кинель на 2018-2022 годы» 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15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67A1" w:rsidRPr="00EB15A1" w:rsidRDefault="001967A1" w:rsidP="001967A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FB23D7">
        <w:rPr>
          <w:rFonts w:ascii="Times New Roman" w:hAnsi="Times New Roman" w:cs="Times New Roman"/>
          <w:sz w:val="28"/>
          <w:szCs w:val="28"/>
        </w:rPr>
        <w:t xml:space="preserve"> 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программы (подпрограммы, вход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щей в состав муниципальной программы)</w:t>
      </w:r>
      <w:r w:rsidRPr="00FB23D7">
        <w:rPr>
          <w:rFonts w:ascii="Times New Roman" w:hAnsi="Times New Roman" w:cs="Times New Roman"/>
          <w:sz w:val="28"/>
          <w:szCs w:val="28"/>
        </w:rPr>
        <w:t xml:space="preserve"> -  Муниципальная программа г</w:t>
      </w:r>
      <w:r w:rsidRPr="00FB23D7">
        <w:rPr>
          <w:rFonts w:ascii="Times New Roman" w:hAnsi="Times New Roman" w:cs="Times New Roman"/>
          <w:sz w:val="28"/>
          <w:szCs w:val="28"/>
        </w:rPr>
        <w:t>о</w:t>
      </w:r>
      <w:r w:rsidRPr="00FB23D7">
        <w:rPr>
          <w:rFonts w:ascii="Times New Roman" w:hAnsi="Times New Roman" w:cs="Times New Roman"/>
          <w:sz w:val="28"/>
          <w:szCs w:val="28"/>
        </w:rPr>
        <w:t>родского округа Кинель Самарской области «Предупреждение чрезвычайных ситуаций и снижение масштабов последствий при их возникновении на терр</w:t>
      </w:r>
      <w:r w:rsidRPr="00FB23D7">
        <w:rPr>
          <w:rFonts w:ascii="Times New Roman" w:hAnsi="Times New Roman" w:cs="Times New Roman"/>
          <w:sz w:val="28"/>
          <w:szCs w:val="28"/>
        </w:rPr>
        <w:t>и</w:t>
      </w:r>
      <w:r w:rsidRPr="00FB23D7">
        <w:rPr>
          <w:rFonts w:ascii="Times New Roman" w:hAnsi="Times New Roman" w:cs="Times New Roman"/>
          <w:sz w:val="28"/>
          <w:szCs w:val="28"/>
        </w:rPr>
        <w:t>тории городского округа Кинель на 2018-2022 годы» утверждена постановл</w:t>
      </w:r>
      <w:r w:rsidRPr="00FB23D7">
        <w:rPr>
          <w:rFonts w:ascii="Times New Roman" w:hAnsi="Times New Roman" w:cs="Times New Roman"/>
          <w:sz w:val="28"/>
          <w:szCs w:val="28"/>
        </w:rPr>
        <w:t>е</w:t>
      </w:r>
      <w:r w:rsidRPr="00FB23D7">
        <w:rPr>
          <w:rFonts w:ascii="Times New Roman" w:hAnsi="Times New Roman" w:cs="Times New Roman"/>
          <w:sz w:val="28"/>
          <w:szCs w:val="28"/>
        </w:rPr>
        <w:t>нием администрации городского округа Кинель Самарской области от 01.08.2017 г. № 2351 (в редакции от 29.12.2021 г.).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FB23D7">
        <w:rPr>
          <w:rFonts w:ascii="Times New Roman" w:hAnsi="Times New Roman" w:cs="Times New Roman"/>
          <w:sz w:val="28"/>
          <w:szCs w:val="28"/>
        </w:rPr>
        <w:t xml:space="preserve"> 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Цели и задачи муниципальной программы</w:t>
      </w:r>
      <w:r w:rsidRPr="00FB23D7">
        <w:rPr>
          <w:rFonts w:ascii="Times New Roman" w:hAnsi="Times New Roman" w:cs="Times New Roman"/>
          <w:sz w:val="28"/>
          <w:szCs w:val="28"/>
        </w:rPr>
        <w:t xml:space="preserve"> 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(подпрограммы, входящей в состав муниципальной программы):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t>Основной целью программы является - предупреждение чрезвычайных ситуаций и снижение масштабов их последствий.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t xml:space="preserve">- обеспечение информирования населения о действиях при угрозе или возникновении чрезвычайных ситуаций природного и техногенного характера; 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единой дежурно-диспетчерской службы городского округа Кинель Самарской области;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t>- снижение масштаба последствий чрезвычайных ситуаций.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3. Информация об изменениях, внесенных в муниципальную програ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 xml:space="preserve">му: </w:t>
      </w:r>
    </w:p>
    <w:p w:rsidR="001967A1" w:rsidRPr="00FB23D7" w:rsidRDefault="001967A1" w:rsidP="001967A1">
      <w:pPr>
        <w:pStyle w:val="af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Самарской области от 01.08.2017г. № 2351 «Предупреждение чрезвычайных ситуаций и снижение масштабов последствий при их возникновении на территории городского окр</w:t>
      </w:r>
      <w:r w:rsidRPr="00FB23D7">
        <w:rPr>
          <w:rFonts w:ascii="Times New Roman" w:hAnsi="Times New Roman" w:cs="Times New Roman"/>
          <w:sz w:val="28"/>
          <w:szCs w:val="28"/>
        </w:rPr>
        <w:t>у</w:t>
      </w:r>
      <w:r w:rsidRPr="00FB23D7">
        <w:rPr>
          <w:rFonts w:ascii="Times New Roman" w:hAnsi="Times New Roman" w:cs="Times New Roman"/>
          <w:sz w:val="28"/>
          <w:szCs w:val="28"/>
        </w:rPr>
        <w:t xml:space="preserve">га Кинель на 2018-2022 годы» в редакции от 23.01.2018 г. №148, 12.02.2018 г. № 372 от 28.05.2018 г. № 1330, от 31.01.2019 г. № 205, от 07.05.19 г. № 1297, от 11.06.2019 г. № 1641, от 30.12.2019 г. № 3757, от 27.01.2020 г. № 235, от 10.04.2020 г. № 956, от 11.09.2020 г. № 2174, от 18.01.2021 № 57, от 25.08.2021 г. № 2425, от 29.12.2021 г. № 3791. 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4. Оценка результативности и эффективности реализации муниц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пальной программы</w:t>
      </w:r>
      <w:r w:rsidRPr="00FB23D7">
        <w:rPr>
          <w:rFonts w:ascii="Times New Roman" w:hAnsi="Times New Roman" w:cs="Times New Roman"/>
          <w:sz w:val="28"/>
          <w:szCs w:val="28"/>
        </w:rPr>
        <w:t xml:space="preserve"> 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(подпрограммы, входящей в состав муниципальной пр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граммы)</w:t>
      </w:r>
      <w:r w:rsidRPr="00FB23D7">
        <w:rPr>
          <w:rFonts w:ascii="Times New Roman" w:hAnsi="Times New Roman" w:cs="Times New Roman"/>
          <w:sz w:val="28"/>
          <w:szCs w:val="28"/>
        </w:rPr>
        <w:t>: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4.1. Конкретные результаты, достигнутые за отчетный период.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lastRenderedPageBreak/>
        <w:t>За  отчетный  период 2021 года в  рамках   реализации  мероприятий  м</w:t>
      </w:r>
      <w:r w:rsidRPr="00FB23D7">
        <w:rPr>
          <w:rFonts w:ascii="Times New Roman" w:hAnsi="Times New Roman" w:cs="Times New Roman"/>
          <w:sz w:val="28"/>
          <w:szCs w:val="28"/>
        </w:rPr>
        <w:t>у</w:t>
      </w:r>
      <w:r w:rsidRPr="00FB23D7">
        <w:rPr>
          <w:rFonts w:ascii="Times New Roman" w:hAnsi="Times New Roman" w:cs="Times New Roman"/>
          <w:sz w:val="28"/>
          <w:szCs w:val="28"/>
        </w:rPr>
        <w:t>ниципальной  программы «Предупреждение чрезвычайных ситуаций и сниж</w:t>
      </w:r>
      <w:r w:rsidRPr="00FB23D7">
        <w:rPr>
          <w:rFonts w:ascii="Times New Roman" w:hAnsi="Times New Roman" w:cs="Times New Roman"/>
          <w:sz w:val="28"/>
          <w:szCs w:val="28"/>
        </w:rPr>
        <w:t>е</w:t>
      </w:r>
      <w:r w:rsidRPr="00FB23D7">
        <w:rPr>
          <w:rFonts w:ascii="Times New Roman" w:hAnsi="Times New Roman" w:cs="Times New Roman"/>
          <w:sz w:val="28"/>
          <w:szCs w:val="28"/>
        </w:rPr>
        <w:t>ние масштабов последствий при их возникновении на территории городского округа Кинель на 2018-2022 годы» были выполнены следующие мероприятия:</w:t>
      </w:r>
    </w:p>
    <w:p w:rsidR="001967A1" w:rsidRPr="00FB23D7" w:rsidRDefault="001967A1" w:rsidP="001967A1">
      <w:pPr>
        <w:ind w:firstLine="708"/>
        <w:rPr>
          <w:sz w:val="28"/>
          <w:szCs w:val="28"/>
        </w:rPr>
      </w:pPr>
      <w:r w:rsidRPr="00FB23D7">
        <w:rPr>
          <w:sz w:val="28"/>
          <w:szCs w:val="28"/>
        </w:rPr>
        <w:t xml:space="preserve">- приобретено 10 пожарных гидрантов; </w:t>
      </w:r>
    </w:p>
    <w:p w:rsidR="001967A1" w:rsidRPr="00FB23D7" w:rsidRDefault="001967A1" w:rsidP="001967A1">
      <w:pPr>
        <w:ind w:firstLine="708"/>
        <w:rPr>
          <w:sz w:val="28"/>
          <w:szCs w:val="28"/>
        </w:rPr>
      </w:pPr>
      <w:r w:rsidRPr="00FB23D7">
        <w:rPr>
          <w:sz w:val="28"/>
          <w:szCs w:val="28"/>
        </w:rPr>
        <w:t>- в течение 2021 года проводилось техническое обслуживание оборудов</w:t>
      </w:r>
      <w:r w:rsidRPr="00FB23D7">
        <w:rPr>
          <w:sz w:val="28"/>
          <w:szCs w:val="28"/>
        </w:rPr>
        <w:t>а</w:t>
      </w:r>
      <w:r w:rsidRPr="00FB23D7">
        <w:rPr>
          <w:sz w:val="28"/>
          <w:szCs w:val="28"/>
        </w:rPr>
        <w:t>ния, установленного в здании единой дежурно-диспетчерской службы горо</w:t>
      </w:r>
      <w:r w:rsidRPr="00FB23D7">
        <w:rPr>
          <w:sz w:val="28"/>
          <w:szCs w:val="28"/>
        </w:rPr>
        <w:t>д</w:t>
      </w:r>
      <w:r w:rsidRPr="00FB23D7">
        <w:rPr>
          <w:sz w:val="28"/>
          <w:szCs w:val="28"/>
        </w:rPr>
        <w:t>ского округа Кинель и муниципального района Кинельский;</w:t>
      </w:r>
    </w:p>
    <w:p w:rsidR="001967A1" w:rsidRPr="00FB23D7" w:rsidRDefault="001967A1" w:rsidP="001967A1">
      <w:pPr>
        <w:ind w:firstLine="708"/>
        <w:rPr>
          <w:sz w:val="28"/>
          <w:szCs w:val="28"/>
        </w:rPr>
      </w:pPr>
      <w:r w:rsidRPr="00FB23D7">
        <w:rPr>
          <w:bCs/>
          <w:sz w:val="28"/>
          <w:szCs w:val="28"/>
        </w:rPr>
        <w:t>- проведено обучение 1 матроса спасателя и подтверждена квалификация 2 матросов-спасателей ведомственных и общественных спасательных постов;</w:t>
      </w:r>
    </w:p>
    <w:p w:rsidR="001967A1" w:rsidRPr="00FB23D7" w:rsidRDefault="001967A1" w:rsidP="001967A1">
      <w:pPr>
        <w:ind w:firstLine="708"/>
        <w:rPr>
          <w:sz w:val="28"/>
          <w:szCs w:val="28"/>
        </w:rPr>
      </w:pPr>
      <w:r w:rsidRPr="00FB23D7">
        <w:rPr>
          <w:sz w:val="28"/>
          <w:szCs w:val="28"/>
        </w:rPr>
        <w:t xml:space="preserve">- приобретено 2 аккумулятора типа </w:t>
      </w:r>
      <w:r w:rsidRPr="00FB23D7">
        <w:rPr>
          <w:sz w:val="28"/>
          <w:szCs w:val="28"/>
          <w:lang w:val="en-US"/>
        </w:rPr>
        <w:t>CSB</w:t>
      </w:r>
      <w:r w:rsidRPr="00FB23D7">
        <w:rPr>
          <w:sz w:val="28"/>
          <w:szCs w:val="28"/>
        </w:rPr>
        <w:t xml:space="preserve"> для для бесперебойной работы технической аппаратуры, установленной в здании единой дежурно-диспетчерской службы городского округа Кинель и муниципального района Кинельский;</w:t>
      </w:r>
    </w:p>
    <w:p w:rsidR="001967A1" w:rsidRPr="00FB23D7" w:rsidRDefault="001967A1" w:rsidP="001967A1">
      <w:pPr>
        <w:ind w:firstLine="708"/>
        <w:rPr>
          <w:sz w:val="28"/>
          <w:szCs w:val="28"/>
        </w:rPr>
      </w:pPr>
      <w:r w:rsidRPr="00FB23D7">
        <w:rPr>
          <w:sz w:val="28"/>
          <w:szCs w:val="28"/>
        </w:rPr>
        <w:t>- приобретено оборудование для системы оповещения и регистрации п</w:t>
      </w:r>
      <w:r w:rsidRPr="00FB23D7">
        <w:rPr>
          <w:sz w:val="28"/>
          <w:szCs w:val="28"/>
        </w:rPr>
        <w:t>е</w:t>
      </w:r>
      <w:r w:rsidRPr="00FB23D7">
        <w:rPr>
          <w:sz w:val="28"/>
          <w:szCs w:val="28"/>
        </w:rPr>
        <w:t>реговоров в здании единой дежурно-диспетчерской службы городского округа Кинель и муниципального района Кинельский;</w:t>
      </w:r>
    </w:p>
    <w:p w:rsidR="001967A1" w:rsidRPr="00FB23D7" w:rsidRDefault="001967A1" w:rsidP="001967A1">
      <w:pPr>
        <w:ind w:firstLine="708"/>
        <w:rPr>
          <w:sz w:val="28"/>
          <w:szCs w:val="28"/>
        </w:rPr>
      </w:pPr>
      <w:r w:rsidRPr="00FB23D7">
        <w:rPr>
          <w:sz w:val="28"/>
          <w:szCs w:val="28"/>
        </w:rPr>
        <w:t>- приобретена вычислительная техника в отдел по делам ГО и ЧС адм</w:t>
      </w:r>
      <w:r w:rsidRPr="00FB23D7">
        <w:rPr>
          <w:sz w:val="28"/>
          <w:szCs w:val="28"/>
        </w:rPr>
        <w:t>и</w:t>
      </w:r>
      <w:r w:rsidRPr="00FB23D7">
        <w:rPr>
          <w:sz w:val="28"/>
          <w:szCs w:val="28"/>
        </w:rPr>
        <w:t>нистрации городского округа Кинель;</w:t>
      </w:r>
    </w:p>
    <w:p w:rsidR="001967A1" w:rsidRPr="00FB23D7" w:rsidRDefault="001967A1" w:rsidP="001967A1">
      <w:pPr>
        <w:pStyle w:val="a4"/>
        <w:ind w:left="0" w:firstLine="720"/>
        <w:rPr>
          <w:bCs/>
          <w:color w:val="000000" w:themeColor="text1"/>
          <w:sz w:val="28"/>
          <w:szCs w:val="28"/>
        </w:rPr>
      </w:pPr>
      <w:r w:rsidRPr="00FB23D7">
        <w:rPr>
          <w:rFonts w:eastAsia="Calibri"/>
          <w:sz w:val="28"/>
          <w:szCs w:val="28"/>
        </w:rPr>
        <w:t xml:space="preserve">- проведено обследование береговых линий и </w:t>
      </w:r>
      <w:r w:rsidRPr="00FB23D7">
        <w:rPr>
          <w:sz w:val="28"/>
          <w:szCs w:val="28"/>
        </w:rPr>
        <w:t>в</w:t>
      </w:r>
      <w:r w:rsidRPr="00FB23D7">
        <w:rPr>
          <w:bCs/>
          <w:sz w:val="28"/>
          <w:szCs w:val="28"/>
        </w:rPr>
        <w:t xml:space="preserve">одолазное обследование дна мест размещения пляжей </w:t>
      </w:r>
      <w:r w:rsidRPr="00FB23D7">
        <w:rPr>
          <w:sz w:val="28"/>
          <w:szCs w:val="28"/>
        </w:rPr>
        <w:t>на реке Самара г. Кинель (мкр. Лебедь)</w:t>
      </w:r>
      <w:r w:rsidRPr="00FB23D7">
        <w:rPr>
          <w:color w:val="FF0000"/>
          <w:sz w:val="28"/>
          <w:szCs w:val="28"/>
        </w:rPr>
        <w:t xml:space="preserve"> </w:t>
      </w:r>
      <w:r w:rsidRPr="00FB23D7">
        <w:rPr>
          <w:color w:val="000000" w:themeColor="text1"/>
          <w:sz w:val="28"/>
          <w:szCs w:val="28"/>
        </w:rPr>
        <w:t>и озеро Ладное</w:t>
      </w:r>
      <w:r>
        <w:rPr>
          <w:color w:val="000000" w:themeColor="text1"/>
          <w:sz w:val="28"/>
          <w:szCs w:val="28"/>
        </w:rPr>
        <w:t xml:space="preserve"> в</w:t>
      </w:r>
      <w:r w:rsidRPr="00FB23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Кинель.</w:t>
      </w:r>
    </w:p>
    <w:p w:rsidR="001967A1" w:rsidRPr="00FB23D7" w:rsidRDefault="001967A1" w:rsidP="001967A1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4.2. Результаты достижения значений показателей (индикаторов) муниципальной программы (подпрограммы, входящей в состав муниципал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ной программы) (по форме, представленной в таблице 1):</w:t>
      </w:r>
    </w:p>
    <w:p w:rsidR="001967A1" w:rsidRPr="00EB15A1" w:rsidRDefault="001967A1" w:rsidP="001967A1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EB15A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238"/>
        <w:gridCol w:w="567"/>
        <w:gridCol w:w="1275"/>
        <w:gridCol w:w="993"/>
        <w:gridCol w:w="992"/>
        <w:gridCol w:w="1984"/>
      </w:tblGrid>
      <w:tr w:rsidR="001967A1" w:rsidRPr="00737E7A" w:rsidTr="002C117E">
        <w:trPr>
          <w:trHeight w:val="556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№ п/п</w:t>
            </w:r>
          </w:p>
        </w:tc>
        <w:tc>
          <w:tcPr>
            <w:tcW w:w="3238" w:type="dxa"/>
            <w:vMerge w:val="restart"/>
            <w:shd w:val="clear" w:color="auto" w:fill="auto"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 xml:space="preserve">Наименование </w:t>
            </w:r>
          </w:p>
          <w:p w:rsidR="001967A1" w:rsidRPr="00737E7A" w:rsidRDefault="001967A1" w:rsidP="002C117E">
            <w:pPr>
              <w:spacing w:line="240" w:lineRule="auto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индикатора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Ед. изм.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Значения ц</w:t>
            </w:r>
            <w:r w:rsidRPr="00737E7A">
              <w:rPr>
                <w:color w:val="000000"/>
              </w:rPr>
              <w:t>е</w:t>
            </w:r>
            <w:r w:rsidRPr="00737E7A">
              <w:rPr>
                <w:color w:val="000000"/>
              </w:rPr>
              <w:t>левых индикаторов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Степень дост</w:t>
            </w:r>
            <w:r w:rsidRPr="00737E7A">
              <w:rPr>
                <w:color w:val="000000"/>
              </w:rPr>
              <w:t>и</w:t>
            </w:r>
            <w:r w:rsidRPr="00737E7A">
              <w:rPr>
                <w:color w:val="000000"/>
              </w:rPr>
              <w:t>жения цел</w:t>
            </w:r>
            <w:r w:rsidRPr="00737E7A">
              <w:rPr>
                <w:color w:val="000000"/>
              </w:rPr>
              <w:t>е</w:t>
            </w:r>
            <w:r w:rsidRPr="00737E7A">
              <w:rPr>
                <w:color w:val="000000"/>
              </w:rPr>
              <w:t>вых инд</w:t>
            </w:r>
            <w:r w:rsidRPr="00737E7A">
              <w:rPr>
                <w:color w:val="000000"/>
              </w:rPr>
              <w:t>и</w:t>
            </w:r>
            <w:r w:rsidRPr="00737E7A">
              <w:rPr>
                <w:color w:val="000000"/>
              </w:rPr>
              <w:t>кат</w:t>
            </w:r>
            <w:r w:rsidRPr="00737E7A">
              <w:rPr>
                <w:color w:val="000000"/>
              </w:rPr>
              <w:t>о</w:t>
            </w:r>
            <w:r w:rsidRPr="00737E7A">
              <w:rPr>
                <w:color w:val="000000"/>
              </w:rPr>
              <w:t>ров, %</w:t>
            </w:r>
          </w:p>
        </w:tc>
        <w:tc>
          <w:tcPr>
            <w:tcW w:w="1984" w:type="dxa"/>
            <w:vMerge w:val="restart"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  <w:r w:rsidRPr="00737E7A">
              <w:rPr>
                <w:color w:val="000000"/>
              </w:rPr>
              <w:t>Причины отклонений фа</w:t>
            </w:r>
            <w:r w:rsidRPr="00737E7A">
              <w:rPr>
                <w:color w:val="000000"/>
              </w:rPr>
              <w:t>к</w:t>
            </w:r>
            <w:r w:rsidRPr="00737E7A">
              <w:rPr>
                <w:color w:val="000000"/>
              </w:rPr>
              <w:t>тически дости</w:t>
            </w:r>
            <w:r w:rsidRPr="00737E7A">
              <w:rPr>
                <w:color w:val="000000"/>
              </w:rPr>
              <w:t>г</w:t>
            </w:r>
            <w:r w:rsidRPr="00737E7A">
              <w:rPr>
                <w:color w:val="000000"/>
              </w:rPr>
              <w:t>нутых значений показателей (и</w:t>
            </w:r>
            <w:r w:rsidRPr="00737E7A">
              <w:rPr>
                <w:color w:val="000000"/>
              </w:rPr>
              <w:t>н</w:t>
            </w:r>
            <w:r w:rsidRPr="00737E7A">
              <w:rPr>
                <w:color w:val="000000"/>
              </w:rPr>
              <w:t>дикаторов) от их плановых знач</w:t>
            </w:r>
            <w:r w:rsidRPr="00737E7A">
              <w:rPr>
                <w:color w:val="000000"/>
              </w:rPr>
              <w:t>е</w:t>
            </w:r>
            <w:r w:rsidRPr="00737E7A">
              <w:rPr>
                <w:color w:val="000000"/>
              </w:rPr>
              <w:t>ний</w:t>
            </w:r>
          </w:p>
        </w:tc>
      </w:tr>
      <w:tr w:rsidR="001967A1" w:rsidRPr="00737E7A" w:rsidTr="002C117E">
        <w:trPr>
          <w:trHeight w:val="2172"/>
        </w:trPr>
        <w:tc>
          <w:tcPr>
            <w:tcW w:w="595" w:type="dxa"/>
            <w:vMerge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238" w:type="dxa"/>
            <w:vMerge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Плановые значения по Пр</w:t>
            </w:r>
            <w:r w:rsidRPr="00737E7A">
              <w:rPr>
                <w:color w:val="000000"/>
              </w:rPr>
              <w:t>о</w:t>
            </w:r>
            <w:r w:rsidRPr="00737E7A">
              <w:rPr>
                <w:color w:val="000000"/>
              </w:rPr>
              <w:t>грамме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Факт</w:t>
            </w:r>
            <w:r w:rsidRPr="00737E7A">
              <w:rPr>
                <w:color w:val="000000"/>
              </w:rPr>
              <w:t>и</w:t>
            </w:r>
            <w:r w:rsidRPr="00737E7A">
              <w:rPr>
                <w:color w:val="000000"/>
              </w:rPr>
              <w:t>чески до</w:t>
            </w:r>
            <w:r w:rsidRPr="00737E7A">
              <w:rPr>
                <w:color w:val="000000"/>
              </w:rPr>
              <w:t>с</w:t>
            </w:r>
            <w:r w:rsidRPr="00737E7A">
              <w:rPr>
                <w:color w:val="000000"/>
              </w:rPr>
              <w:t>тигн</w:t>
            </w:r>
            <w:r w:rsidRPr="00737E7A">
              <w:rPr>
                <w:color w:val="000000"/>
              </w:rPr>
              <w:t>у</w:t>
            </w:r>
            <w:r w:rsidRPr="00737E7A">
              <w:rPr>
                <w:color w:val="000000"/>
              </w:rPr>
              <w:t>тые знач</w:t>
            </w:r>
            <w:r w:rsidRPr="00737E7A">
              <w:rPr>
                <w:color w:val="000000"/>
              </w:rPr>
              <w:t>е</w:t>
            </w:r>
            <w:r w:rsidRPr="00737E7A">
              <w:rPr>
                <w:color w:val="000000"/>
              </w:rPr>
              <w:t>ния</w:t>
            </w:r>
          </w:p>
        </w:tc>
        <w:tc>
          <w:tcPr>
            <w:tcW w:w="992" w:type="dxa"/>
            <w:vMerge/>
            <w:vAlign w:val="center"/>
            <w:hideMark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  <w:szCs w:val="28"/>
              </w:rPr>
            </w:pPr>
          </w:p>
        </w:tc>
      </w:tr>
      <w:tr w:rsidR="001967A1" w:rsidRPr="00737E7A" w:rsidTr="002C117E">
        <w:trPr>
          <w:trHeight w:val="1835"/>
        </w:trPr>
        <w:tc>
          <w:tcPr>
            <w:tcW w:w="595" w:type="dxa"/>
            <w:hideMark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  <w:r w:rsidRPr="00737E7A">
              <w:rPr>
                <w:color w:val="000000"/>
              </w:rPr>
              <w:lastRenderedPageBreak/>
              <w:t>1</w:t>
            </w:r>
          </w:p>
        </w:tc>
        <w:tc>
          <w:tcPr>
            <w:tcW w:w="3238" w:type="dxa"/>
            <w:vAlign w:val="center"/>
            <w:hideMark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737E7A">
              <w:rPr>
                <w:color w:val="000000"/>
              </w:rPr>
              <w:t>Количество размещенных с СМИ профилактических ст</w:t>
            </w:r>
            <w:r w:rsidRPr="00737E7A">
              <w:rPr>
                <w:color w:val="000000"/>
              </w:rPr>
              <w:t>а</w:t>
            </w:r>
            <w:r w:rsidRPr="00737E7A">
              <w:rPr>
                <w:color w:val="000000"/>
              </w:rPr>
              <w:t>тей, содержащих разъясн</w:t>
            </w:r>
            <w:r w:rsidRPr="00737E7A">
              <w:rPr>
                <w:color w:val="000000"/>
              </w:rPr>
              <w:t>е</w:t>
            </w:r>
            <w:r w:rsidRPr="00737E7A">
              <w:rPr>
                <w:color w:val="000000"/>
              </w:rPr>
              <w:t>ния и рекомендации по де</w:t>
            </w:r>
            <w:r w:rsidRPr="00737E7A">
              <w:rPr>
                <w:color w:val="000000"/>
              </w:rPr>
              <w:t>й</w:t>
            </w:r>
            <w:r w:rsidRPr="00737E7A">
              <w:rPr>
                <w:color w:val="000000"/>
              </w:rPr>
              <w:t>ствиям при угрозе возникн</w:t>
            </w:r>
            <w:r w:rsidRPr="00737E7A">
              <w:rPr>
                <w:color w:val="000000"/>
              </w:rPr>
              <w:t>о</w:t>
            </w:r>
            <w:r w:rsidRPr="00737E7A">
              <w:rPr>
                <w:color w:val="000000"/>
              </w:rPr>
              <w:t>вения или возникновении чрезвычайной ситуации пр</w:t>
            </w:r>
            <w:r w:rsidRPr="00737E7A">
              <w:rPr>
                <w:color w:val="000000"/>
              </w:rPr>
              <w:t>и</w:t>
            </w:r>
            <w:r w:rsidRPr="00737E7A">
              <w:rPr>
                <w:color w:val="000000"/>
              </w:rPr>
              <w:t>родного и техногенного х</w:t>
            </w:r>
            <w:r w:rsidRPr="00737E7A">
              <w:rPr>
                <w:color w:val="000000"/>
              </w:rPr>
              <w:t>а</w:t>
            </w:r>
            <w:r w:rsidRPr="00737E7A">
              <w:rPr>
                <w:color w:val="000000"/>
              </w:rPr>
              <w:t>рактера, обеспечение пожа</w:t>
            </w:r>
            <w:r w:rsidRPr="00737E7A">
              <w:rPr>
                <w:color w:val="000000"/>
              </w:rPr>
              <w:t>р</w:t>
            </w:r>
            <w:r w:rsidRPr="00737E7A">
              <w:rPr>
                <w:color w:val="000000"/>
              </w:rPr>
              <w:t>ной безопасности и безопа</w:t>
            </w:r>
            <w:r w:rsidRPr="00737E7A">
              <w:rPr>
                <w:color w:val="000000"/>
              </w:rPr>
              <w:t>с</w:t>
            </w:r>
            <w:r w:rsidRPr="00737E7A">
              <w:rPr>
                <w:color w:val="000000"/>
              </w:rPr>
              <w:t>ности людей на водных об</w:t>
            </w:r>
            <w:r w:rsidRPr="00737E7A">
              <w:rPr>
                <w:color w:val="000000"/>
              </w:rPr>
              <w:t>ъ</w:t>
            </w:r>
            <w:r w:rsidRPr="00737E7A">
              <w:rPr>
                <w:color w:val="000000"/>
              </w:rPr>
              <w:t>ектах</w:t>
            </w:r>
          </w:p>
        </w:tc>
        <w:tc>
          <w:tcPr>
            <w:tcW w:w="567" w:type="dxa"/>
            <w:hideMark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hideMark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37E7A">
              <w:rPr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37E7A">
              <w:rPr>
                <w:color w:val="000000"/>
              </w:rPr>
              <w:t>5</w:t>
            </w:r>
          </w:p>
        </w:tc>
        <w:tc>
          <w:tcPr>
            <w:tcW w:w="1984" w:type="dxa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737E7A">
              <w:rPr>
                <w:color w:val="000000"/>
              </w:rPr>
              <w:t>В связи с рек</w:t>
            </w:r>
            <w:r w:rsidRPr="00737E7A">
              <w:rPr>
                <w:color w:val="000000"/>
              </w:rPr>
              <w:t>о</w:t>
            </w:r>
            <w:r w:rsidRPr="00737E7A">
              <w:rPr>
                <w:color w:val="000000"/>
              </w:rPr>
              <w:t>мендациями ГУ МЧС России по Самарской о</w:t>
            </w:r>
            <w:r w:rsidRPr="00737E7A">
              <w:rPr>
                <w:color w:val="000000"/>
              </w:rPr>
              <w:t>б</w:t>
            </w:r>
            <w:r w:rsidRPr="00737E7A">
              <w:rPr>
                <w:color w:val="000000"/>
              </w:rPr>
              <w:t>ласти по инфо</w:t>
            </w:r>
            <w:r w:rsidRPr="00737E7A">
              <w:rPr>
                <w:color w:val="000000"/>
              </w:rPr>
              <w:t>р</w:t>
            </w:r>
            <w:r w:rsidRPr="00737E7A">
              <w:rPr>
                <w:color w:val="000000"/>
              </w:rPr>
              <w:t>мирования нас</w:t>
            </w:r>
            <w:r w:rsidRPr="00737E7A">
              <w:rPr>
                <w:color w:val="000000"/>
              </w:rPr>
              <w:t>е</w:t>
            </w:r>
            <w:r w:rsidRPr="00737E7A">
              <w:rPr>
                <w:color w:val="000000"/>
              </w:rPr>
              <w:t>ления городск</w:t>
            </w:r>
            <w:r w:rsidRPr="00737E7A">
              <w:rPr>
                <w:color w:val="000000"/>
              </w:rPr>
              <w:t>о</w:t>
            </w:r>
            <w:r w:rsidRPr="00737E7A">
              <w:rPr>
                <w:color w:val="000000"/>
              </w:rPr>
              <w:t>го округа по п</w:t>
            </w:r>
            <w:r w:rsidRPr="00737E7A">
              <w:rPr>
                <w:color w:val="000000"/>
              </w:rPr>
              <w:t>о</w:t>
            </w:r>
            <w:r w:rsidRPr="00737E7A">
              <w:rPr>
                <w:color w:val="000000"/>
              </w:rPr>
              <w:t>годным услов</w:t>
            </w:r>
            <w:r w:rsidRPr="00737E7A">
              <w:rPr>
                <w:color w:val="000000"/>
              </w:rPr>
              <w:t>и</w:t>
            </w:r>
            <w:r w:rsidRPr="00737E7A">
              <w:rPr>
                <w:color w:val="000000"/>
              </w:rPr>
              <w:t>ям и предупре</w:t>
            </w:r>
            <w:r w:rsidRPr="00737E7A">
              <w:rPr>
                <w:color w:val="000000"/>
              </w:rPr>
              <w:t>ж</w:t>
            </w:r>
            <w:r w:rsidRPr="00737E7A">
              <w:rPr>
                <w:color w:val="000000"/>
              </w:rPr>
              <w:t xml:space="preserve">дению ЧС </w:t>
            </w:r>
          </w:p>
        </w:tc>
      </w:tr>
      <w:tr w:rsidR="001967A1" w:rsidRPr="00737E7A" w:rsidTr="002C117E">
        <w:trPr>
          <w:trHeight w:val="3111"/>
        </w:trPr>
        <w:tc>
          <w:tcPr>
            <w:tcW w:w="595" w:type="dxa"/>
            <w:shd w:val="clear" w:color="auto" w:fill="auto"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  <w:r w:rsidRPr="00737E7A">
              <w:rPr>
                <w:color w:val="000000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737E7A">
              <w:rPr>
                <w:color w:val="000000"/>
              </w:rPr>
              <w:t>Количество изготовленных и распространенных памяток, буклетов содержащих раз</w:t>
            </w:r>
            <w:r w:rsidRPr="00737E7A">
              <w:rPr>
                <w:color w:val="000000"/>
              </w:rPr>
              <w:t>ъ</w:t>
            </w:r>
            <w:r w:rsidRPr="00737E7A">
              <w:rPr>
                <w:color w:val="000000"/>
              </w:rPr>
              <w:t>яснения и рекомендации по действиям при угрозе во</w:t>
            </w:r>
            <w:r w:rsidRPr="00737E7A">
              <w:rPr>
                <w:color w:val="000000"/>
              </w:rPr>
              <w:t>з</w:t>
            </w:r>
            <w:r w:rsidRPr="00737E7A">
              <w:rPr>
                <w:color w:val="000000"/>
              </w:rPr>
              <w:t>никновения или возникнов</w:t>
            </w:r>
            <w:r w:rsidRPr="00737E7A">
              <w:rPr>
                <w:color w:val="000000"/>
              </w:rPr>
              <w:t>е</w:t>
            </w:r>
            <w:r w:rsidRPr="00737E7A">
              <w:rPr>
                <w:color w:val="000000"/>
              </w:rPr>
              <w:t>нии чрезвычайной ситуации природного и техногенного характера, в том числе пож</w:t>
            </w:r>
            <w:r w:rsidRPr="00737E7A">
              <w:rPr>
                <w:color w:val="000000"/>
              </w:rPr>
              <w:t>а</w:t>
            </w:r>
            <w:r w:rsidRPr="00737E7A">
              <w:rPr>
                <w:color w:val="000000"/>
              </w:rPr>
              <w:t>ров</w:t>
            </w:r>
          </w:p>
        </w:tc>
        <w:tc>
          <w:tcPr>
            <w:tcW w:w="567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37E7A">
              <w:rPr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737E7A">
              <w:rPr>
                <w:color w:val="000000"/>
              </w:rPr>
              <w:t>В связи с прин</w:t>
            </w:r>
            <w:r w:rsidRPr="00737E7A">
              <w:rPr>
                <w:color w:val="000000"/>
              </w:rPr>
              <w:t>я</w:t>
            </w:r>
            <w:r w:rsidRPr="00737E7A">
              <w:rPr>
                <w:color w:val="000000"/>
              </w:rPr>
              <w:t>тыми решени</w:t>
            </w:r>
            <w:r w:rsidRPr="00737E7A">
              <w:rPr>
                <w:color w:val="000000"/>
              </w:rPr>
              <w:t>я</w:t>
            </w:r>
            <w:r w:rsidRPr="00737E7A">
              <w:rPr>
                <w:color w:val="000000"/>
              </w:rPr>
              <w:t>ми на КЧС и ОПБ г.о. Кинель по соблюдению населением д</w:t>
            </w:r>
            <w:r w:rsidRPr="00737E7A">
              <w:rPr>
                <w:color w:val="000000"/>
              </w:rPr>
              <w:t>о</w:t>
            </w:r>
            <w:r w:rsidRPr="00737E7A">
              <w:rPr>
                <w:color w:val="000000"/>
              </w:rPr>
              <w:t>полнительных мер направле</w:t>
            </w:r>
            <w:r w:rsidRPr="00737E7A">
              <w:rPr>
                <w:color w:val="000000"/>
              </w:rPr>
              <w:t>н</w:t>
            </w:r>
            <w:r w:rsidRPr="00737E7A">
              <w:rPr>
                <w:color w:val="000000"/>
              </w:rPr>
              <w:t>ных на обесп</w:t>
            </w:r>
            <w:r w:rsidRPr="00737E7A">
              <w:rPr>
                <w:color w:val="000000"/>
              </w:rPr>
              <w:t>е</w:t>
            </w:r>
            <w:r w:rsidRPr="00737E7A">
              <w:rPr>
                <w:color w:val="000000"/>
              </w:rPr>
              <w:t>чение безопа</w:t>
            </w:r>
            <w:r w:rsidRPr="00737E7A">
              <w:rPr>
                <w:color w:val="000000"/>
              </w:rPr>
              <w:t>с</w:t>
            </w:r>
            <w:r w:rsidRPr="00737E7A">
              <w:rPr>
                <w:color w:val="000000"/>
              </w:rPr>
              <w:t xml:space="preserve">ности </w:t>
            </w:r>
          </w:p>
        </w:tc>
      </w:tr>
      <w:tr w:rsidR="001967A1" w:rsidRPr="00737E7A" w:rsidTr="002C117E">
        <w:trPr>
          <w:trHeight w:val="1144"/>
        </w:trPr>
        <w:tc>
          <w:tcPr>
            <w:tcW w:w="595" w:type="dxa"/>
            <w:shd w:val="clear" w:color="auto" w:fill="auto"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  <w:r w:rsidRPr="00737E7A">
              <w:rPr>
                <w:color w:val="000000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737E7A">
              <w:rPr>
                <w:color w:val="000000"/>
              </w:rPr>
              <w:t>Количество приобретенных пожарных гидрантов</w:t>
            </w:r>
          </w:p>
        </w:tc>
        <w:tc>
          <w:tcPr>
            <w:tcW w:w="567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 w:rsidRPr="00737E7A"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4" w:type="dxa"/>
          </w:tcPr>
          <w:p w:rsidR="001967A1" w:rsidRPr="00444B1B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444B1B">
              <w:rPr>
                <w:color w:val="000000"/>
              </w:rPr>
              <w:t>В связи с пов</w:t>
            </w:r>
            <w:r w:rsidRPr="00444B1B">
              <w:rPr>
                <w:color w:val="000000"/>
              </w:rPr>
              <w:t>ы</w:t>
            </w:r>
            <w:r w:rsidRPr="00444B1B">
              <w:rPr>
                <w:color w:val="000000"/>
              </w:rPr>
              <w:t>шением цены на приобретаемые  изделия</w:t>
            </w:r>
          </w:p>
        </w:tc>
      </w:tr>
      <w:tr w:rsidR="001967A1" w:rsidRPr="00737E7A" w:rsidTr="002C117E">
        <w:trPr>
          <w:trHeight w:val="2509"/>
        </w:trPr>
        <w:tc>
          <w:tcPr>
            <w:tcW w:w="595" w:type="dxa"/>
            <w:shd w:val="clear" w:color="auto" w:fill="auto"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  <w:r w:rsidRPr="00737E7A">
              <w:rPr>
                <w:color w:val="000000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737E7A">
              <w:rPr>
                <w:color w:val="000000"/>
              </w:rPr>
              <w:t>Доля исправных гидрантов</w:t>
            </w:r>
          </w:p>
        </w:tc>
        <w:tc>
          <w:tcPr>
            <w:tcW w:w="567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 w:rsidRPr="00737E7A">
              <w:t>%</w:t>
            </w:r>
          </w:p>
        </w:tc>
        <w:tc>
          <w:tcPr>
            <w:tcW w:w="1275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96</w:t>
            </w:r>
          </w:p>
        </w:tc>
        <w:tc>
          <w:tcPr>
            <w:tcW w:w="993" w:type="dxa"/>
            <w:shd w:val="clear" w:color="auto" w:fill="auto"/>
          </w:tcPr>
          <w:p w:rsidR="001967A1" w:rsidRPr="0014788A" w:rsidRDefault="001967A1" w:rsidP="001967A1">
            <w:pPr>
              <w:spacing w:line="240" w:lineRule="auto"/>
              <w:ind w:firstLine="11"/>
              <w:jc w:val="center"/>
            </w:pPr>
            <w:r w:rsidRPr="0014788A">
              <w:t>9</w:t>
            </w: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1967A1" w:rsidRPr="0014788A" w:rsidRDefault="001967A1" w:rsidP="001967A1">
            <w:pPr>
              <w:spacing w:line="240" w:lineRule="auto"/>
              <w:ind w:firstLine="11"/>
              <w:jc w:val="center"/>
            </w:pPr>
            <w:r>
              <w:t>101</w:t>
            </w:r>
          </w:p>
        </w:tc>
        <w:tc>
          <w:tcPr>
            <w:tcW w:w="1984" w:type="dxa"/>
          </w:tcPr>
          <w:p w:rsidR="001967A1" w:rsidRPr="00F72973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F72973">
              <w:rPr>
                <w:color w:val="000000"/>
              </w:rPr>
              <w:t>В связи со сво</w:t>
            </w:r>
            <w:r w:rsidRPr="00F72973">
              <w:rPr>
                <w:color w:val="000000"/>
              </w:rPr>
              <w:t>е</w:t>
            </w:r>
            <w:r w:rsidRPr="00F72973">
              <w:rPr>
                <w:color w:val="000000"/>
              </w:rPr>
              <w:t>временным пр</w:t>
            </w:r>
            <w:r w:rsidRPr="00F72973">
              <w:rPr>
                <w:color w:val="000000"/>
              </w:rPr>
              <w:t>о</w:t>
            </w:r>
            <w:r w:rsidRPr="00F72973">
              <w:rPr>
                <w:color w:val="000000"/>
              </w:rPr>
              <w:t>ведением тех. мероприятий по поддержанию в исправном с</w:t>
            </w:r>
            <w:r w:rsidRPr="00F72973">
              <w:rPr>
                <w:color w:val="000000"/>
              </w:rPr>
              <w:t>о</w:t>
            </w:r>
            <w:r w:rsidRPr="00F72973">
              <w:rPr>
                <w:color w:val="000000"/>
              </w:rPr>
              <w:t>стоянии и сво</w:t>
            </w:r>
            <w:r w:rsidRPr="00F72973">
              <w:rPr>
                <w:color w:val="000000"/>
              </w:rPr>
              <w:t>е</w:t>
            </w:r>
            <w:r w:rsidRPr="00F72973">
              <w:rPr>
                <w:color w:val="000000"/>
              </w:rPr>
              <w:t>временной зам</w:t>
            </w:r>
            <w:r w:rsidRPr="00F72973">
              <w:rPr>
                <w:color w:val="000000"/>
              </w:rPr>
              <w:t>е</w:t>
            </w:r>
            <w:r w:rsidRPr="00F72973">
              <w:rPr>
                <w:color w:val="000000"/>
              </w:rPr>
              <w:t>ной устаревшего оборудования</w:t>
            </w:r>
          </w:p>
        </w:tc>
      </w:tr>
      <w:tr w:rsidR="001967A1" w:rsidRPr="00737E7A" w:rsidTr="002C117E">
        <w:trPr>
          <w:trHeight w:val="343"/>
        </w:trPr>
        <w:tc>
          <w:tcPr>
            <w:tcW w:w="595" w:type="dxa"/>
            <w:shd w:val="clear" w:color="auto" w:fill="auto"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  <w:r w:rsidRPr="00737E7A">
              <w:rPr>
                <w:color w:val="000000"/>
              </w:rPr>
              <w:t>5</w:t>
            </w:r>
          </w:p>
        </w:tc>
        <w:tc>
          <w:tcPr>
            <w:tcW w:w="3238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737E7A">
              <w:rPr>
                <w:color w:val="000000"/>
              </w:rPr>
              <w:t>Количество приобретенных пожарных рукавов</w:t>
            </w:r>
          </w:p>
        </w:tc>
        <w:tc>
          <w:tcPr>
            <w:tcW w:w="567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</w:pPr>
            <w:r w:rsidRPr="00737E7A">
              <w:t>шт.</w:t>
            </w:r>
          </w:p>
        </w:tc>
        <w:tc>
          <w:tcPr>
            <w:tcW w:w="1275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>
              <w:rPr>
                <w:color w:val="000000"/>
              </w:rPr>
              <w:t>На 2021 год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не запланированы</w:t>
            </w:r>
          </w:p>
        </w:tc>
      </w:tr>
      <w:tr w:rsidR="001967A1" w:rsidRPr="00737E7A" w:rsidTr="002C117E">
        <w:trPr>
          <w:trHeight w:val="892"/>
        </w:trPr>
        <w:tc>
          <w:tcPr>
            <w:tcW w:w="595" w:type="dxa"/>
            <w:shd w:val="clear" w:color="auto" w:fill="auto"/>
            <w:hideMark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  <w:r w:rsidRPr="00737E7A">
              <w:rPr>
                <w:color w:val="000000"/>
              </w:rPr>
              <w:t>6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  <w:r w:rsidRPr="00737E7A">
              <w:t>Количество одновременно принимаемой информации от населения</w:t>
            </w:r>
          </w:p>
        </w:tc>
        <w:tc>
          <w:tcPr>
            <w:tcW w:w="567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 w:rsidRPr="00737E7A">
              <w:t>%</w:t>
            </w:r>
          </w:p>
        </w:tc>
        <w:tc>
          <w:tcPr>
            <w:tcW w:w="1275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t xml:space="preserve">Не менее </w:t>
            </w:r>
            <w:r w:rsidRPr="00737E7A">
              <w:t>10</w:t>
            </w:r>
            <w:r>
              <w:t>0%</w:t>
            </w:r>
          </w:p>
        </w:tc>
        <w:tc>
          <w:tcPr>
            <w:tcW w:w="993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67A1" w:rsidRPr="00737E7A" w:rsidTr="002C117E">
        <w:trPr>
          <w:trHeight w:val="892"/>
        </w:trPr>
        <w:tc>
          <w:tcPr>
            <w:tcW w:w="595" w:type="dxa"/>
            <w:shd w:val="clear" w:color="auto" w:fill="auto"/>
            <w:hideMark/>
          </w:tcPr>
          <w:p w:rsidR="001967A1" w:rsidRPr="00737E7A" w:rsidRDefault="001967A1" w:rsidP="002C117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1967A1" w:rsidRPr="00737E7A" w:rsidRDefault="001967A1" w:rsidP="001967A1">
            <w:pPr>
              <w:spacing w:line="240" w:lineRule="auto"/>
              <w:ind w:firstLine="11"/>
            </w:pPr>
            <w:r>
              <w:t>Среднее значение по всем показателям (индикаторам)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</w:pPr>
            <w:r w:rsidRPr="00737E7A">
              <w:t>%</w:t>
            </w:r>
          </w:p>
        </w:tc>
        <w:tc>
          <w:tcPr>
            <w:tcW w:w="1275" w:type="dxa"/>
            <w:shd w:val="clear" w:color="auto" w:fill="auto"/>
          </w:tcPr>
          <w:p w:rsidR="001967A1" w:rsidRPr="00737E7A" w:rsidRDefault="001967A1" w:rsidP="001967A1">
            <w:pPr>
              <w:spacing w:line="240" w:lineRule="auto"/>
              <w:ind w:firstLine="1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967A1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967A1" w:rsidRDefault="001967A1" w:rsidP="001967A1">
            <w:pPr>
              <w:spacing w:line="240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984" w:type="dxa"/>
          </w:tcPr>
          <w:p w:rsidR="001967A1" w:rsidRPr="00737E7A" w:rsidRDefault="001967A1" w:rsidP="001967A1">
            <w:pPr>
              <w:spacing w:line="240" w:lineRule="auto"/>
              <w:ind w:firstLine="11"/>
              <w:rPr>
                <w:color w:val="000000"/>
              </w:rPr>
            </w:pPr>
          </w:p>
        </w:tc>
      </w:tr>
    </w:tbl>
    <w:p w:rsidR="001967A1" w:rsidRPr="00FB23D7" w:rsidRDefault="001967A1" w:rsidP="001967A1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B23D7">
        <w:rPr>
          <w:rFonts w:ascii="Times New Roman" w:hAnsi="Times New Roman" w:cs="Times New Roman"/>
          <w:sz w:val="28"/>
          <w:szCs w:val="26"/>
        </w:rPr>
        <w:t>Степень достижения целевых показателей программ в 2021 году состав</w:t>
      </w:r>
      <w:r w:rsidRPr="00FB23D7">
        <w:rPr>
          <w:rFonts w:ascii="Times New Roman" w:hAnsi="Times New Roman" w:cs="Times New Roman"/>
          <w:sz w:val="28"/>
          <w:szCs w:val="26"/>
        </w:rPr>
        <w:t>и</w:t>
      </w:r>
      <w:r w:rsidRPr="00FB23D7">
        <w:rPr>
          <w:rFonts w:ascii="Times New Roman" w:hAnsi="Times New Roman" w:cs="Times New Roman"/>
          <w:sz w:val="28"/>
          <w:szCs w:val="26"/>
        </w:rPr>
        <w:t>ла 104,3 %. Таким образом, в соответствии с методикой оценки эффективности реализации муниципальных программ, учитывая степень достижения плановых значений индикаторов, эффективность реализации Программы признается в</w:t>
      </w:r>
      <w:r w:rsidRPr="00FB23D7">
        <w:rPr>
          <w:rFonts w:ascii="Times New Roman" w:hAnsi="Times New Roman" w:cs="Times New Roman"/>
          <w:sz w:val="28"/>
          <w:szCs w:val="26"/>
        </w:rPr>
        <w:t>ы</w:t>
      </w:r>
      <w:r w:rsidRPr="00FB23D7">
        <w:rPr>
          <w:rFonts w:ascii="Times New Roman" w:hAnsi="Times New Roman" w:cs="Times New Roman"/>
          <w:sz w:val="28"/>
          <w:szCs w:val="26"/>
        </w:rPr>
        <w:t>сокой.</w:t>
      </w:r>
    </w:p>
    <w:p w:rsidR="001967A1" w:rsidRPr="00FB23D7" w:rsidRDefault="001967A1" w:rsidP="001967A1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FB23D7">
        <w:rPr>
          <w:rFonts w:ascii="Times New Roman" w:hAnsi="Times New Roman" w:cs="Times New Roman"/>
          <w:b/>
          <w:i/>
          <w:sz w:val="28"/>
          <w:szCs w:val="26"/>
        </w:rPr>
        <w:lastRenderedPageBreak/>
        <w:t>4.3. Перечень мероприятий, выполненных не в полном объеме и не в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ы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полненных (с указанием причин) в установленные сроки.</w:t>
      </w:r>
    </w:p>
    <w:p w:rsidR="001967A1" w:rsidRPr="00FB23D7" w:rsidRDefault="001967A1" w:rsidP="001967A1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B23D7">
        <w:rPr>
          <w:rFonts w:ascii="Times New Roman" w:hAnsi="Times New Roman" w:cs="Times New Roman"/>
          <w:sz w:val="28"/>
          <w:szCs w:val="26"/>
        </w:rPr>
        <w:t xml:space="preserve">В 2021 году </w:t>
      </w:r>
      <w:r w:rsidRPr="00FB23D7">
        <w:rPr>
          <w:rFonts w:ascii="Times New Roman" w:hAnsi="Times New Roman" w:cs="Times New Roman"/>
          <w:color w:val="000000"/>
          <w:sz w:val="28"/>
          <w:szCs w:val="26"/>
        </w:rPr>
        <w:t>приобретено 10 пожарных гидрантов, вместо запланирова</w:t>
      </w:r>
      <w:r w:rsidRPr="00FB23D7">
        <w:rPr>
          <w:rFonts w:ascii="Times New Roman" w:hAnsi="Times New Roman" w:cs="Times New Roman"/>
          <w:color w:val="000000"/>
          <w:sz w:val="28"/>
          <w:szCs w:val="26"/>
        </w:rPr>
        <w:t>н</w:t>
      </w:r>
      <w:r w:rsidRPr="00FB23D7">
        <w:rPr>
          <w:rFonts w:ascii="Times New Roman" w:hAnsi="Times New Roman" w:cs="Times New Roman"/>
          <w:color w:val="000000"/>
          <w:sz w:val="28"/>
          <w:szCs w:val="26"/>
        </w:rPr>
        <w:t>ных 20, в связи с повышением цены на приобретаемые изделия</w:t>
      </w:r>
      <w:r w:rsidRPr="00FB23D7">
        <w:rPr>
          <w:rFonts w:ascii="Times New Roman" w:hAnsi="Times New Roman" w:cs="Times New Roman"/>
          <w:sz w:val="28"/>
          <w:szCs w:val="26"/>
        </w:rPr>
        <w:t>.</w:t>
      </w:r>
    </w:p>
    <w:p w:rsidR="001967A1" w:rsidRPr="00FB23D7" w:rsidRDefault="001967A1" w:rsidP="001967A1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FB23D7">
        <w:rPr>
          <w:rFonts w:ascii="Times New Roman" w:hAnsi="Times New Roman" w:cs="Times New Roman"/>
          <w:b/>
          <w:i/>
          <w:sz w:val="28"/>
          <w:szCs w:val="26"/>
        </w:rPr>
        <w:t>4.4. Анализ факторов, повлиявших на ход реализации муниципальной программы.</w:t>
      </w:r>
    </w:p>
    <w:p w:rsidR="001967A1" w:rsidRPr="00FB23D7" w:rsidRDefault="001967A1" w:rsidP="001967A1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B23D7">
        <w:rPr>
          <w:rFonts w:ascii="Times New Roman" w:hAnsi="Times New Roman" w:cs="Times New Roman"/>
          <w:sz w:val="28"/>
          <w:szCs w:val="26"/>
        </w:rPr>
        <w:t>Основными факторами, положительно повлиявшими на ход реализации Программы в отчетном году, являются: своевременное поступление бюдже</w:t>
      </w:r>
      <w:r w:rsidRPr="00FB23D7">
        <w:rPr>
          <w:rFonts w:ascii="Times New Roman" w:hAnsi="Times New Roman" w:cs="Times New Roman"/>
          <w:sz w:val="28"/>
          <w:szCs w:val="26"/>
        </w:rPr>
        <w:t>т</w:t>
      </w:r>
      <w:r w:rsidRPr="00FB23D7">
        <w:rPr>
          <w:rFonts w:ascii="Times New Roman" w:hAnsi="Times New Roman" w:cs="Times New Roman"/>
          <w:sz w:val="28"/>
          <w:szCs w:val="26"/>
        </w:rPr>
        <w:t>ных средств, что позволило в полном объеме и в установленные сроки проф</w:t>
      </w:r>
      <w:r w:rsidRPr="00FB23D7">
        <w:rPr>
          <w:rFonts w:ascii="Times New Roman" w:hAnsi="Times New Roman" w:cs="Times New Roman"/>
          <w:sz w:val="28"/>
          <w:szCs w:val="26"/>
        </w:rPr>
        <w:t>и</w:t>
      </w:r>
      <w:r w:rsidRPr="00FB23D7">
        <w:rPr>
          <w:rFonts w:ascii="Times New Roman" w:hAnsi="Times New Roman" w:cs="Times New Roman"/>
          <w:sz w:val="28"/>
          <w:szCs w:val="26"/>
        </w:rPr>
        <w:t>нансировать запланированные мероприятия.</w:t>
      </w:r>
    </w:p>
    <w:p w:rsidR="001967A1" w:rsidRPr="00FB23D7" w:rsidRDefault="001967A1" w:rsidP="001967A1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B23D7">
        <w:rPr>
          <w:rFonts w:ascii="Times New Roman" w:hAnsi="Times New Roman" w:cs="Times New Roman"/>
          <w:b/>
          <w:i/>
          <w:sz w:val="28"/>
          <w:szCs w:val="26"/>
        </w:rPr>
        <w:t>4.5. Данные о бюджетных ассигнований и иных средствах, направле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н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ных на выполнение мероприятий, а также освоенных в ходе реализации муниципальной программы (подпрограммы) (по форме, представленной в таблице 2):</w:t>
      </w:r>
    </w:p>
    <w:p w:rsidR="001967A1" w:rsidRDefault="001967A1" w:rsidP="001967A1">
      <w:pPr>
        <w:rPr>
          <w:sz w:val="28"/>
          <w:szCs w:val="28"/>
        </w:rPr>
        <w:sectPr w:rsidR="001967A1" w:rsidSect="0002775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967A1" w:rsidRPr="001D66DA" w:rsidRDefault="001967A1" w:rsidP="001967A1">
      <w:pPr>
        <w:pStyle w:val="af7"/>
        <w:jc w:val="right"/>
        <w:rPr>
          <w:rFonts w:ascii="Times New Roman" w:hAnsi="Times New Roman" w:cs="Times New Roman"/>
          <w:sz w:val="26"/>
          <w:szCs w:val="26"/>
        </w:rPr>
      </w:pPr>
      <w:bookmarkStart w:id="1" w:name="RANGE!A1:M36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1D66DA">
        <w:rPr>
          <w:rFonts w:ascii="Times New Roman" w:hAnsi="Times New Roman" w:cs="Times New Roman"/>
          <w:sz w:val="26"/>
          <w:szCs w:val="26"/>
        </w:rPr>
        <w:t xml:space="preserve">  Таблица 2</w:t>
      </w:r>
    </w:p>
    <w:p w:rsidR="001967A1" w:rsidRDefault="001967A1" w:rsidP="001967A1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1D66DA">
        <w:rPr>
          <w:rFonts w:ascii="Times New Roman" w:hAnsi="Times New Roman" w:cs="Times New Roman"/>
          <w:sz w:val="26"/>
          <w:szCs w:val="26"/>
        </w:rPr>
        <w:t>Отчет о финансировании мероприятий муниципальной программы городского округа Кинель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D66D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967A1" w:rsidRPr="001D66DA" w:rsidRDefault="001967A1" w:rsidP="001967A1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5731" w:type="dxa"/>
        <w:tblInd w:w="-463" w:type="dxa"/>
        <w:tblLayout w:type="fixed"/>
        <w:tblLook w:val="04A0"/>
      </w:tblPr>
      <w:tblGrid>
        <w:gridCol w:w="523"/>
        <w:gridCol w:w="2447"/>
        <w:gridCol w:w="1774"/>
        <w:gridCol w:w="1214"/>
        <w:gridCol w:w="983"/>
        <w:gridCol w:w="1116"/>
        <w:gridCol w:w="976"/>
        <w:gridCol w:w="977"/>
        <w:gridCol w:w="976"/>
        <w:gridCol w:w="977"/>
        <w:gridCol w:w="965"/>
        <w:gridCol w:w="955"/>
        <w:gridCol w:w="870"/>
        <w:gridCol w:w="978"/>
      </w:tblGrid>
      <w:tr w:rsidR="001967A1" w:rsidTr="001967A1">
        <w:trPr>
          <w:trHeight w:val="1374"/>
        </w:trPr>
        <w:tc>
          <w:tcPr>
            <w:tcW w:w="15731" w:type="dxa"/>
            <w:gridSpan w:val="14"/>
          </w:tcPr>
          <w:p w:rsidR="001967A1" w:rsidRPr="00945DEF" w:rsidRDefault="001967A1" w:rsidP="001967A1">
            <w:pPr>
              <w:spacing w:line="240" w:lineRule="auto"/>
              <w:ind w:firstLine="0"/>
            </w:pPr>
            <w:r w:rsidRPr="00945DEF">
              <w:t>Муниципальная программа городского округа Кинель Самарской области «Предупреждение чрезвычайных ситуаций и снижение масштабов после</w:t>
            </w:r>
            <w:r w:rsidRPr="00945DEF">
              <w:t>д</w:t>
            </w:r>
            <w:r w:rsidRPr="00945DEF">
              <w:t>ствий при их возникновении на территории городского округа Кинель на 2018-2022 годы», утверждена постановлением администрации городского округа К</w:t>
            </w:r>
            <w:r>
              <w:t>инель от 01.08.2017 г. № 2351 (</w:t>
            </w:r>
            <w:r w:rsidRPr="00945DEF">
              <w:t>с изменениями от 23.01.2018 г. №</w:t>
            </w:r>
            <w:r>
              <w:t xml:space="preserve"> 148, от 12.02.2018 г. </w:t>
            </w:r>
            <w:r w:rsidRPr="00945DEF">
              <w:t>№</w:t>
            </w:r>
            <w:r>
              <w:t xml:space="preserve"> </w:t>
            </w:r>
            <w:r w:rsidRPr="00945DEF">
              <w:t>372, от 28.05.2018 г. №</w:t>
            </w:r>
            <w:r>
              <w:t xml:space="preserve"> </w:t>
            </w:r>
            <w:r w:rsidRPr="00945DEF">
              <w:t>1330, от 31.01.2019 г. №</w:t>
            </w:r>
            <w:r>
              <w:t xml:space="preserve"> </w:t>
            </w:r>
            <w:r w:rsidRPr="00945DEF">
              <w:t>205, от 07.05.2019 г. №</w:t>
            </w:r>
            <w:r>
              <w:t xml:space="preserve"> </w:t>
            </w:r>
            <w:r w:rsidRPr="00945DEF">
              <w:t>1297, от 11.06.2019 г.  № 1641, от 30.12.2019 г. № 3757, от 27.01.2020 г. №</w:t>
            </w:r>
            <w:r>
              <w:t xml:space="preserve"> </w:t>
            </w:r>
            <w:r w:rsidRPr="00945DEF">
              <w:t>235, от 10.04.2020 г. № 956, от 11.09.2020 г. № 2174, от 18.01.2021</w:t>
            </w:r>
            <w:r>
              <w:t xml:space="preserve"> № 57, от 25.08.2021 г. № 2425, от 29.12.2021 г. № 3791</w:t>
            </w:r>
            <w:r w:rsidRPr="00945DEF">
              <w:t>).</w:t>
            </w:r>
          </w:p>
        </w:tc>
      </w:tr>
      <w:tr w:rsidR="001967A1" w:rsidTr="001967A1">
        <w:trPr>
          <w:trHeight w:val="770"/>
        </w:trPr>
        <w:tc>
          <w:tcPr>
            <w:tcW w:w="523" w:type="dxa"/>
            <w:vMerge w:val="restart"/>
          </w:tcPr>
          <w:p w:rsidR="001967A1" w:rsidRPr="00945DEF" w:rsidRDefault="001967A1" w:rsidP="002C117E">
            <w:pPr>
              <w:jc w:val="center"/>
            </w:pPr>
            <w:r w:rsidRPr="00945DEF">
              <w:t>№</w:t>
            </w:r>
          </w:p>
          <w:p w:rsidR="001967A1" w:rsidRPr="00945DEF" w:rsidRDefault="001967A1" w:rsidP="002C117E">
            <w:pPr>
              <w:jc w:val="center"/>
            </w:pPr>
            <w:r w:rsidRPr="00945DEF">
              <w:t>п/п</w:t>
            </w:r>
          </w:p>
        </w:tc>
        <w:tc>
          <w:tcPr>
            <w:tcW w:w="2447" w:type="dxa"/>
            <w:vMerge w:val="restart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Наименование мер</w:t>
            </w:r>
            <w:r>
              <w:t>о</w:t>
            </w:r>
            <w:r>
              <w:t>приятий, № подпун</w:t>
            </w:r>
            <w:r>
              <w:t>к</w:t>
            </w:r>
            <w:r>
              <w:t>та по Программе</w:t>
            </w:r>
          </w:p>
        </w:tc>
        <w:tc>
          <w:tcPr>
            <w:tcW w:w="1774" w:type="dxa"/>
            <w:vMerge w:val="restart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Главный ра</w:t>
            </w:r>
            <w:r>
              <w:t>с</w:t>
            </w:r>
            <w:r>
              <w:t>порядитель бюджетных средств</w:t>
            </w:r>
          </w:p>
        </w:tc>
        <w:tc>
          <w:tcPr>
            <w:tcW w:w="1214" w:type="dxa"/>
            <w:vMerge w:val="restart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Испо</w:t>
            </w:r>
            <w:r>
              <w:t>л</w:t>
            </w:r>
            <w:r>
              <w:t>нитель</w:t>
            </w:r>
          </w:p>
        </w:tc>
        <w:tc>
          <w:tcPr>
            <w:tcW w:w="3075" w:type="dxa"/>
            <w:gridSpan w:val="3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План по Программе</w:t>
            </w:r>
          </w:p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(тыс. рублей)</w:t>
            </w:r>
          </w:p>
        </w:tc>
        <w:tc>
          <w:tcPr>
            <w:tcW w:w="2930" w:type="dxa"/>
            <w:gridSpan w:val="3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Факт по Программе</w:t>
            </w:r>
          </w:p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(тыс. рублей)</w:t>
            </w:r>
          </w:p>
        </w:tc>
        <w:tc>
          <w:tcPr>
            <w:tcW w:w="2790" w:type="dxa"/>
            <w:gridSpan w:val="3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Эффективность фина</w:t>
            </w:r>
            <w:r>
              <w:t>н</w:t>
            </w:r>
            <w:r>
              <w:t>совых расходов (факт/план х100)</w:t>
            </w:r>
          </w:p>
        </w:tc>
        <w:tc>
          <w:tcPr>
            <w:tcW w:w="978" w:type="dxa"/>
            <w:vMerge w:val="restart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Пр</w:t>
            </w:r>
            <w:r>
              <w:t>и</w:t>
            </w:r>
            <w:r>
              <w:t>меч</w:t>
            </w:r>
            <w:r>
              <w:t>а</w:t>
            </w:r>
            <w:r>
              <w:t>ние</w:t>
            </w:r>
          </w:p>
        </w:tc>
      </w:tr>
      <w:tr w:rsidR="001967A1" w:rsidTr="001967A1">
        <w:trPr>
          <w:trHeight w:val="145"/>
        </w:trPr>
        <w:tc>
          <w:tcPr>
            <w:tcW w:w="523" w:type="dxa"/>
            <w:vMerge/>
          </w:tcPr>
          <w:p w:rsidR="001967A1" w:rsidRPr="00945DEF" w:rsidRDefault="001967A1" w:rsidP="002C117E">
            <w:pPr>
              <w:jc w:val="center"/>
            </w:pPr>
          </w:p>
        </w:tc>
        <w:tc>
          <w:tcPr>
            <w:tcW w:w="2447" w:type="dxa"/>
            <w:vMerge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</w:p>
        </w:tc>
        <w:tc>
          <w:tcPr>
            <w:tcW w:w="1774" w:type="dxa"/>
            <w:vMerge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</w:p>
        </w:tc>
        <w:tc>
          <w:tcPr>
            <w:tcW w:w="1214" w:type="dxa"/>
            <w:vMerge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</w:p>
        </w:tc>
        <w:tc>
          <w:tcPr>
            <w:tcW w:w="983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1116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За счет средств бюдж</w:t>
            </w:r>
            <w:r>
              <w:t>е</w:t>
            </w:r>
            <w:r>
              <w:t>та г</w:t>
            </w:r>
            <w:r>
              <w:t>о</w:t>
            </w:r>
            <w:r>
              <w:t>родск</w:t>
            </w:r>
            <w:r>
              <w:t>о</w:t>
            </w:r>
            <w:r>
              <w:t>го окр</w:t>
            </w:r>
            <w:r>
              <w:t>у</w:t>
            </w:r>
            <w:r>
              <w:t>га</w:t>
            </w:r>
          </w:p>
        </w:tc>
        <w:tc>
          <w:tcPr>
            <w:tcW w:w="976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За счет иных исто</w:t>
            </w:r>
            <w:r>
              <w:t>ч</w:t>
            </w:r>
            <w:r>
              <w:t>ников</w:t>
            </w:r>
          </w:p>
        </w:tc>
        <w:tc>
          <w:tcPr>
            <w:tcW w:w="977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976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За счет средств бю</w:t>
            </w:r>
            <w:r>
              <w:t>д</w:t>
            </w:r>
            <w:r>
              <w:t>жета горо</w:t>
            </w:r>
            <w:r>
              <w:t>д</w:t>
            </w:r>
            <w:r>
              <w:t>ского округа</w:t>
            </w:r>
          </w:p>
        </w:tc>
        <w:tc>
          <w:tcPr>
            <w:tcW w:w="977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За счет иных исто</w:t>
            </w:r>
            <w:r>
              <w:t>ч</w:t>
            </w:r>
            <w:r>
              <w:t>ников</w:t>
            </w:r>
          </w:p>
        </w:tc>
        <w:tc>
          <w:tcPr>
            <w:tcW w:w="965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955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За счет средств бю</w:t>
            </w:r>
            <w:r>
              <w:t>д</w:t>
            </w:r>
            <w:r>
              <w:t>жета горо</w:t>
            </w:r>
            <w:r>
              <w:t>д</w:t>
            </w:r>
            <w:r>
              <w:t>ского округа</w:t>
            </w:r>
          </w:p>
        </w:tc>
        <w:tc>
          <w:tcPr>
            <w:tcW w:w="870" w:type="dxa"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  <w:r>
              <w:t>За счет иных и</w:t>
            </w:r>
            <w:r>
              <w:t>с</w:t>
            </w:r>
            <w:r>
              <w:t>то</w:t>
            </w:r>
            <w:r>
              <w:t>ч</w:t>
            </w:r>
            <w:r>
              <w:t>ников</w:t>
            </w:r>
          </w:p>
        </w:tc>
        <w:tc>
          <w:tcPr>
            <w:tcW w:w="978" w:type="dxa"/>
            <w:vMerge/>
          </w:tcPr>
          <w:p w:rsidR="001967A1" w:rsidRPr="00945DEF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Tr="001967A1">
        <w:trPr>
          <w:trHeight w:val="514"/>
        </w:trPr>
        <w:tc>
          <w:tcPr>
            <w:tcW w:w="523" w:type="dxa"/>
            <w:vMerge w:val="restart"/>
          </w:tcPr>
          <w:p w:rsidR="001967A1" w:rsidRPr="00F742E8" w:rsidRDefault="001967A1" w:rsidP="002C117E">
            <w:pPr>
              <w:jc w:val="center"/>
            </w:pPr>
            <w:r w:rsidRPr="00F742E8">
              <w:t>1</w:t>
            </w:r>
            <w:r>
              <w:t>.</w:t>
            </w:r>
          </w:p>
        </w:tc>
        <w:tc>
          <w:tcPr>
            <w:tcW w:w="2447" w:type="dxa"/>
          </w:tcPr>
          <w:p w:rsidR="001967A1" w:rsidRPr="00F742E8" w:rsidRDefault="001967A1" w:rsidP="001967A1">
            <w:pPr>
              <w:spacing w:line="240" w:lineRule="auto"/>
              <w:ind w:firstLine="0"/>
            </w:pPr>
            <w:r w:rsidRPr="00F742E8">
              <w:t>Поставка пожарных гидрантов</w:t>
            </w:r>
          </w:p>
        </w:tc>
        <w:tc>
          <w:tcPr>
            <w:tcW w:w="1774" w:type="dxa"/>
            <w:vMerge w:val="restart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Администр</w:t>
            </w:r>
            <w:r w:rsidRPr="00F742E8">
              <w:t>а</w:t>
            </w:r>
            <w:r w:rsidRPr="00F742E8">
              <w:t>ция г.о. К</w:t>
            </w:r>
            <w:r w:rsidRPr="00F742E8">
              <w:t>и</w:t>
            </w:r>
            <w:r w:rsidRPr="00F742E8">
              <w:t>нель</w:t>
            </w:r>
          </w:p>
        </w:tc>
        <w:tc>
          <w:tcPr>
            <w:tcW w:w="1214" w:type="dxa"/>
            <w:vMerge w:val="restart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Отдел по делам ГО и ЧС</w:t>
            </w:r>
          </w:p>
        </w:tc>
        <w:tc>
          <w:tcPr>
            <w:tcW w:w="983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89,509</w:t>
            </w:r>
          </w:p>
        </w:tc>
        <w:tc>
          <w:tcPr>
            <w:tcW w:w="111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89,509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89,509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89,509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1967A1" w:rsidTr="001967A1">
        <w:trPr>
          <w:trHeight w:val="145"/>
        </w:trPr>
        <w:tc>
          <w:tcPr>
            <w:tcW w:w="523" w:type="dxa"/>
            <w:vMerge/>
          </w:tcPr>
          <w:p w:rsidR="001967A1" w:rsidRPr="00F742E8" w:rsidRDefault="001967A1" w:rsidP="002C117E">
            <w:pPr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1967A1" w:rsidRPr="00F742E8" w:rsidRDefault="001967A1" w:rsidP="001967A1">
            <w:pPr>
              <w:spacing w:line="240" w:lineRule="auto"/>
              <w:ind w:firstLine="0"/>
            </w:pPr>
            <w:r w:rsidRPr="00F742E8">
              <w:t>202</w:t>
            </w:r>
            <w:r>
              <w:t>1</w:t>
            </w:r>
            <w:r w:rsidRPr="00F742E8">
              <w:t xml:space="preserve"> год</w:t>
            </w:r>
          </w:p>
        </w:tc>
        <w:tc>
          <w:tcPr>
            <w:tcW w:w="1774" w:type="dxa"/>
            <w:vMerge/>
          </w:tcPr>
          <w:p w:rsidR="001967A1" w:rsidRPr="00F742E8" w:rsidRDefault="001967A1" w:rsidP="001967A1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214" w:type="dxa"/>
            <w:vMerge/>
          </w:tcPr>
          <w:p w:rsidR="001967A1" w:rsidRPr="00F742E8" w:rsidRDefault="001967A1" w:rsidP="001967A1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983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89,509</w:t>
            </w:r>
          </w:p>
        </w:tc>
        <w:tc>
          <w:tcPr>
            <w:tcW w:w="111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89,509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89,509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89,509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1967A1" w:rsidRPr="00625FDA" w:rsidTr="001967A1">
        <w:trPr>
          <w:trHeight w:val="333"/>
        </w:trPr>
        <w:tc>
          <w:tcPr>
            <w:tcW w:w="523" w:type="dxa"/>
            <w:vMerge w:val="restart"/>
          </w:tcPr>
          <w:p w:rsidR="001967A1" w:rsidRPr="00625FDA" w:rsidRDefault="001967A1" w:rsidP="002C117E">
            <w:pPr>
              <w:jc w:val="center"/>
            </w:pPr>
            <w:r w:rsidRPr="00625FDA">
              <w:t>7.</w:t>
            </w:r>
          </w:p>
        </w:tc>
        <w:tc>
          <w:tcPr>
            <w:tcW w:w="2447" w:type="dxa"/>
          </w:tcPr>
          <w:p w:rsidR="001967A1" w:rsidRPr="00625FDA" w:rsidRDefault="001967A1" w:rsidP="001967A1">
            <w:pPr>
              <w:spacing w:line="240" w:lineRule="auto"/>
              <w:ind w:firstLine="0"/>
            </w:pPr>
            <w:r>
              <w:t>Техническое обсл</w:t>
            </w:r>
            <w:r>
              <w:t>у</w:t>
            </w:r>
            <w:r>
              <w:t>живание оборудов</w:t>
            </w:r>
            <w:r>
              <w:t>а</w:t>
            </w:r>
            <w:r>
              <w:t>ния, установленного на ЕДДС городского округа</w:t>
            </w:r>
          </w:p>
        </w:tc>
        <w:tc>
          <w:tcPr>
            <w:tcW w:w="1774" w:type="dxa"/>
            <w:vMerge w:val="restart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Администр</w:t>
            </w:r>
            <w:r w:rsidRPr="00F742E8">
              <w:t>а</w:t>
            </w:r>
            <w:r w:rsidRPr="00F742E8">
              <w:t>ция г.о. К</w:t>
            </w:r>
            <w:r w:rsidRPr="00F742E8">
              <w:t>и</w:t>
            </w:r>
            <w:r w:rsidRPr="00F742E8">
              <w:t>нель</w:t>
            </w:r>
          </w:p>
        </w:tc>
        <w:tc>
          <w:tcPr>
            <w:tcW w:w="1214" w:type="dxa"/>
            <w:vMerge w:val="restart"/>
          </w:tcPr>
          <w:p w:rsidR="001967A1" w:rsidRPr="00D34E46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Отдел по делам ГО и ЧС</w:t>
            </w:r>
          </w:p>
        </w:tc>
        <w:tc>
          <w:tcPr>
            <w:tcW w:w="983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150,0</w:t>
            </w:r>
          </w:p>
        </w:tc>
        <w:tc>
          <w:tcPr>
            <w:tcW w:w="111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150,0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150,0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150,0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1967A1" w:rsidRPr="00625FDA" w:rsidRDefault="001967A1" w:rsidP="001967A1">
            <w:pPr>
              <w:spacing w:line="240" w:lineRule="auto"/>
              <w:ind w:firstLine="0"/>
            </w:pPr>
          </w:p>
        </w:tc>
      </w:tr>
      <w:tr w:rsidR="001967A1" w:rsidRPr="00625FDA" w:rsidTr="001967A1">
        <w:trPr>
          <w:trHeight w:val="145"/>
        </w:trPr>
        <w:tc>
          <w:tcPr>
            <w:tcW w:w="523" w:type="dxa"/>
            <w:vMerge/>
          </w:tcPr>
          <w:p w:rsidR="001967A1" w:rsidRPr="00625FDA" w:rsidRDefault="001967A1" w:rsidP="002C117E">
            <w:pPr>
              <w:jc w:val="center"/>
            </w:pPr>
          </w:p>
        </w:tc>
        <w:tc>
          <w:tcPr>
            <w:tcW w:w="2447" w:type="dxa"/>
          </w:tcPr>
          <w:p w:rsidR="001967A1" w:rsidRPr="00625FDA" w:rsidRDefault="001967A1" w:rsidP="001967A1">
            <w:pPr>
              <w:spacing w:line="240" w:lineRule="auto"/>
              <w:ind w:firstLine="0"/>
            </w:pPr>
            <w:r>
              <w:t>2021 год</w:t>
            </w:r>
          </w:p>
        </w:tc>
        <w:tc>
          <w:tcPr>
            <w:tcW w:w="177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150,0</w:t>
            </w:r>
          </w:p>
        </w:tc>
        <w:tc>
          <w:tcPr>
            <w:tcW w:w="111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150,0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150,0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150,0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145"/>
        </w:trPr>
        <w:tc>
          <w:tcPr>
            <w:tcW w:w="523" w:type="dxa"/>
            <w:vMerge w:val="restart"/>
          </w:tcPr>
          <w:p w:rsidR="001967A1" w:rsidRPr="00625FDA" w:rsidRDefault="001967A1" w:rsidP="002C117E">
            <w:pPr>
              <w:jc w:val="center"/>
            </w:pPr>
            <w:r>
              <w:t>9.</w:t>
            </w:r>
          </w:p>
        </w:tc>
        <w:tc>
          <w:tcPr>
            <w:tcW w:w="2447" w:type="dxa"/>
          </w:tcPr>
          <w:p w:rsidR="001967A1" w:rsidRPr="00625FDA" w:rsidRDefault="001967A1" w:rsidP="001967A1">
            <w:pPr>
              <w:spacing w:line="240" w:lineRule="auto"/>
              <w:ind w:firstLine="0"/>
            </w:pPr>
            <w:r>
              <w:t>Обучение спасателей и подтверждение квалификации об</w:t>
            </w:r>
            <w:r>
              <w:t>у</w:t>
            </w:r>
            <w:r>
              <w:t xml:space="preserve">ченных спасателей для предупреждения несчастных случаев с людьми и оказания помощи терпящим бедствие на водных </w:t>
            </w:r>
            <w:r>
              <w:lastRenderedPageBreak/>
              <w:t>объектах общего пользования</w:t>
            </w:r>
          </w:p>
        </w:tc>
        <w:tc>
          <w:tcPr>
            <w:tcW w:w="1774" w:type="dxa"/>
            <w:vMerge w:val="restart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lastRenderedPageBreak/>
              <w:t>Администр</w:t>
            </w:r>
            <w:r w:rsidRPr="00F742E8">
              <w:t>а</w:t>
            </w:r>
            <w:r w:rsidRPr="00F742E8">
              <w:t>ция г.о. К</w:t>
            </w:r>
            <w:r w:rsidRPr="00F742E8">
              <w:t>и</w:t>
            </w:r>
            <w:r w:rsidRPr="00F742E8">
              <w:t>нель</w:t>
            </w:r>
          </w:p>
        </w:tc>
        <w:tc>
          <w:tcPr>
            <w:tcW w:w="1214" w:type="dxa"/>
            <w:vMerge w:val="restart"/>
          </w:tcPr>
          <w:p w:rsidR="001967A1" w:rsidRPr="00D34E46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Отдел по делам ГО и ЧС</w:t>
            </w:r>
          </w:p>
        </w:tc>
        <w:tc>
          <w:tcPr>
            <w:tcW w:w="983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27,0</w:t>
            </w:r>
          </w:p>
        </w:tc>
        <w:tc>
          <w:tcPr>
            <w:tcW w:w="1116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27,0</w:t>
            </w:r>
          </w:p>
        </w:tc>
        <w:tc>
          <w:tcPr>
            <w:tcW w:w="976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27,0</w:t>
            </w:r>
          </w:p>
        </w:tc>
        <w:tc>
          <w:tcPr>
            <w:tcW w:w="976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27,0</w:t>
            </w:r>
          </w:p>
        </w:tc>
        <w:tc>
          <w:tcPr>
            <w:tcW w:w="977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  <w:tc>
          <w:tcPr>
            <w:tcW w:w="978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145"/>
        </w:trPr>
        <w:tc>
          <w:tcPr>
            <w:tcW w:w="523" w:type="dxa"/>
            <w:vMerge/>
          </w:tcPr>
          <w:p w:rsidR="001967A1" w:rsidRDefault="001967A1" w:rsidP="002C117E">
            <w:pPr>
              <w:jc w:val="center"/>
            </w:pPr>
          </w:p>
        </w:tc>
        <w:tc>
          <w:tcPr>
            <w:tcW w:w="2447" w:type="dxa"/>
          </w:tcPr>
          <w:p w:rsidR="001967A1" w:rsidRPr="00625FDA" w:rsidRDefault="001967A1" w:rsidP="001967A1">
            <w:pPr>
              <w:spacing w:line="240" w:lineRule="auto"/>
              <w:ind w:firstLine="0"/>
            </w:pPr>
            <w:r>
              <w:t>2021 год</w:t>
            </w:r>
          </w:p>
        </w:tc>
        <w:tc>
          <w:tcPr>
            <w:tcW w:w="177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27,0</w:t>
            </w:r>
          </w:p>
        </w:tc>
        <w:tc>
          <w:tcPr>
            <w:tcW w:w="1116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27,0</w:t>
            </w:r>
          </w:p>
        </w:tc>
        <w:tc>
          <w:tcPr>
            <w:tcW w:w="976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27,0</w:t>
            </w:r>
          </w:p>
        </w:tc>
        <w:tc>
          <w:tcPr>
            <w:tcW w:w="976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27,0</w:t>
            </w:r>
          </w:p>
        </w:tc>
        <w:tc>
          <w:tcPr>
            <w:tcW w:w="977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277"/>
        </w:trPr>
        <w:tc>
          <w:tcPr>
            <w:tcW w:w="523" w:type="dxa"/>
            <w:vMerge w:val="restart"/>
          </w:tcPr>
          <w:p w:rsidR="001967A1" w:rsidRDefault="001967A1" w:rsidP="002C117E">
            <w:pPr>
              <w:jc w:val="center"/>
            </w:pPr>
            <w:r>
              <w:t>10.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1967A1" w:rsidRPr="00EA0D98" w:rsidRDefault="001967A1" w:rsidP="001967A1">
            <w:pPr>
              <w:spacing w:line="240" w:lineRule="auto"/>
              <w:ind w:firstLine="0"/>
            </w:pPr>
            <w:r>
              <w:t>Поставка двух акк</w:t>
            </w:r>
            <w:r>
              <w:t>у</w:t>
            </w:r>
            <w:r>
              <w:t xml:space="preserve">муляторов типа </w:t>
            </w:r>
            <w:r>
              <w:rPr>
                <w:lang w:val="en-US"/>
              </w:rPr>
              <w:t>CSB</w:t>
            </w:r>
            <w:r>
              <w:t xml:space="preserve"> для бесперебойной работы технической аппаратуры, уст</w:t>
            </w:r>
            <w:r>
              <w:t>а</w:t>
            </w:r>
            <w:r>
              <w:t>новленной в здании ЕДДС г.о. Кинель и м.р. Кинельский</w:t>
            </w:r>
          </w:p>
        </w:tc>
        <w:tc>
          <w:tcPr>
            <w:tcW w:w="1774" w:type="dxa"/>
            <w:vMerge w:val="restart"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  <w:vMerge w:val="restart"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20,884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20,884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20,884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20,884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217"/>
        </w:trPr>
        <w:tc>
          <w:tcPr>
            <w:tcW w:w="523" w:type="dxa"/>
            <w:vMerge/>
          </w:tcPr>
          <w:p w:rsidR="001967A1" w:rsidRDefault="001967A1" w:rsidP="002C117E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</w:pPr>
            <w:r>
              <w:t>2021 год</w:t>
            </w:r>
          </w:p>
        </w:tc>
        <w:tc>
          <w:tcPr>
            <w:tcW w:w="177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20,884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20,884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20,884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20,884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1329"/>
        </w:trPr>
        <w:tc>
          <w:tcPr>
            <w:tcW w:w="523" w:type="dxa"/>
            <w:vMerge w:val="restart"/>
          </w:tcPr>
          <w:p w:rsidR="001967A1" w:rsidRDefault="001967A1" w:rsidP="002C117E">
            <w:pPr>
              <w:jc w:val="center"/>
            </w:pPr>
            <w:r>
              <w:t>11.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</w:pPr>
            <w:r>
              <w:t>Поставка оборудов</w:t>
            </w:r>
            <w:r>
              <w:t>а</w:t>
            </w:r>
            <w:r>
              <w:t>ния для системы оповещения и рег</w:t>
            </w:r>
            <w:r>
              <w:t>и</w:t>
            </w:r>
            <w:r>
              <w:t>страции переговоров в здании ЕДДС г.о. Кинель и м.р. К</w:t>
            </w:r>
            <w:r>
              <w:t>и</w:t>
            </w:r>
            <w:r>
              <w:t>нельский</w:t>
            </w:r>
          </w:p>
        </w:tc>
        <w:tc>
          <w:tcPr>
            <w:tcW w:w="1774" w:type="dxa"/>
            <w:vMerge w:val="restart"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  <w:vMerge w:val="restart"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86,667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86,667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86,667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86,667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157"/>
        </w:trPr>
        <w:tc>
          <w:tcPr>
            <w:tcW w:w="523" w:type="dxa"/>
            <w:vMerge/>
          </w:tcPr>
          <w:p w:rsidR="001967A1" w:rsidRDefault="001967A1" w:rsidP="002C117E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</w:pPr>
            <w:r>
              <w:t>2021 год</w:t>
            </w:r>
          </w:p>
        </w:tc>
        <w:tc>
          <w:tcPr>
            <w:tcW w:w="177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86,667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86,667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86,667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86,667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145"/>
        </w:trPr>
        <w:tc>
          <w:tcPr>
            <w:tcW w:w="523" w:type="dxa"/>
            <w:vMerge w:val="restart"/>
          </w:tcPr>
          <w:p w:rsidR="001967A1" w:rsidRDefault="001967A1" w:rsidP="002C117E">
            <w:pPr>
              <w:jc w:val="center"/>
            </w:pPr>
            <w:r>
              <w:t>12.</w:t>
            </w:r>
          </w:p>
        </w:tc>
        <w:tc>
          <w:tcPr>
            <w:tcW w:w="2447" w:type="dxa"/>
          </w:tcPr>
          <w:p w:rsidR="001967A1" w:rsidRDefault="001967A1" w:rsidP="001967A1">
            <w:pPr>
              <w:spacing w:line="240" w:lineRule="auto"/>
              <w:ind w:firstLine="0"/>
            </w:pPr>
            <w:r>
              <w:t>Обследование бер</w:t>
            </w:r>
            <w:r>
              <w:t>е</w:t>
            </w:r>
            <w:r>
              <w:t>говых линий и дна мест размещения пляжей (мкр. Лебедь река Самара, река Большой Кинель, г. Кинель, озеро Ла</w:t>
            </w:r>
            <w:r>
              <w:t>д</w:t>
            </w:r>
            <w:r>
              <w:t>ное)</w:t>
            </w:r>
          </w:p>
        </w:tc>
        <w:tc>
          <w:tcPr>
            <w:tcW w:w="1774" w:type="dxa"/>
            <w:vMerge w:val="restart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Администр</w:t>
            </w:r>
            <w:r w:rsidRPr="00F742E8">
              <w:t>а</w:t>
            </w:r>
            <w:r w:rsidRPr="00F742E8">
              <w:t>ция г.о. К</w:t>
            </w:r>
            <w:r w:rsidRPr="00F742E8">
              <w:t>и</w:t>
            </w:r>
            <w:r w:rsidRPr="00F742E8">
              <w:t>нель</w:t>
            </w:r>
          </w:p>
        </w:tc>
        <w:tc>
          <w:tcPr>
            <w:tcW w:w="1214" w:type="dxa"/>
            <w:vMerge w:val="restart"/>
          </w:tcPr>
          <w:p w:rsidR="001967A1" w:rsidRPr="00D34E46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Отдел по делам ГО и ЧС</w:t>
            </w:r>
          </w:p>
        </w:tc>
        <w:tc>
          <w:tcPr>
            <w:tcW w:w="983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1116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77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76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  <w:tc>
          <w:tcPr>
            <w:tcW w:w="978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200"/>
        </w:trPr>
        <w:tc>
          <w:tcPr>
            <w:tcW w:w="523" w:type="dxa"/>
            <w:vMerge/>
          </w:tcPr>
          <w:p w:rsidR="001967A1" w:rsidRDefault="001967A1" w:rsidP="002C117E">
            <w:pPr>
              <w:jc w:val="center"/>
            </w:pPr>
          </w:p>
        </w:tc>
        <w:tc>
          <w:tcPr>
            <w:tcW w:w="2447" w:type="dxa"/>
          </w:tcPr>
          <w:p w:rsidR="001967A1" w:rsidRDefault="001967A1" w:rsidP="001967A1">
            <w:pPr>
              <w:spacing w:line="240" w:lineRule="auto"/>
              <w:ind w:firstLine="0"/>
            </w:pPr>
            <w:r>
              <w:t>2021</w:t>
            </w:r>
          </w:p>
        </w:tc>
        <w:tc>
          <w:tcPr>
            <w:tcW w:w="177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  <w:vMerge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1116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77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76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145"/>
        </w:trPr>
        <w:tc>
          <w:tcPr>
            <w:tcW w:w="523" w:type="dxa"/>
            <w:vMerge w:val="restart"/>
          </w:tcPr>
          <w:p w:rsidR="001967A1" w:rsidRDefault="001967A1" w:rsidP="002C117E">
            <w:pPr>
              <w:jc w:val="center"/>
            </w:pPr>
            <w:r>
              <w:t>13.</w:t>
            </w:r>
          </w:p>
        </w:tc>
        <w:tc>
          <w:tcPr>
            <w:tcW w:w="2447" w:type="dxa"/>
          </w:tcPr>
          <w:p w:rsidR="001967A1" w:rsidRDefault="001967A1" w:rsidP="001967A1">
            <w:pPr>
              <w:spacing w:line="240" w:lineRule="auto"/>
              <w:ind w:firstLine="0"/>
            </w:pPr>
            <w:r>
              <w:t>Поставка вычисл</w:t>
            </w:r>
            <w:r>
              <w:t>и</w:t>
            </w:r>
            <w:r>
              <w:t>тельной техники</w:t>
            </w:r>
          </w:p>
        </w:tc>
        <w:tc>
          <w:tcPr>
            <w:tcW w:w="1774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Администр</w:t>
            </w:r>
            <w:r w:rsidRPr="00F742E8">
              <w:t>а</w:t>
            </w:r>
            <w:r w:rsidRPr="00F742E8">
              <w:t>ция г.о. К</w:t>
            </w:r>
            <w:r w:rsidRPr="00F742E8">
              <w:t>и</w:t>
            </w:r>
            <w:r w:rsidRPr="00F742E8">
              <w:t>нель</w:t>
            </w:r>
          </w:p>
        </w:tc>
        <w:tc>
          <w:tcPr>
            <w:tcW w:w="1214" w:type="dxa"/>
          </w:tcPr>
          <w:p w:rsidR="001967A1" w:rsidRPr="00D34E46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Отдел по делам ГО и ЧС</w:t>
            </w:r>
          </w:p>
        </w:tc>
        <w:tc>
          <w:tcPr>
            <w:tcW w:w="983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6</w:t>
            </w:r>
            <w:r w:rsidRPr="00F742E8">
              <w:t>0,0</w:t>
            </w:r>
          </w:p>
        </w:tc>
        <w:tc>
          <w:tcPr>
            <w:tcW w:w="111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6</w:t>
            </w:r>
            <w:r w:rsidRPr="00F742E8">
              <w:t>0,0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6</w:t>
            </w:r>
            <w:r w:rsidRPr="00F742E8">
              <w:t>0,0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6</w:t>
            </w:r>
            <w:r w:rsidRPr="00F742E8">
              <w:t>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1967A1" w:rsidRDefault="001967A1" w:rsidP="001967A1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1967A1" w:rsidRPr="00625FDA" w:rsidTr="001967A1">
        <w:trPr>
          <w:trHeight w:val="145"/>
        </w:trPr>
        <w:tc>
          <w:tcPr>
            <w:tcW w:w="523" w:type="dxa"/>
            <w:vMerge/>
          </w:tcPr>
          <w:p w:rsidR="001967A1" w:rsidRDefault="001967A1" w:rsidP="002C117E">
            <w:pPr>
              <w:jc w:val="center"/>
            </w:pPr>
          </w:p>
        </w:tc>
        <w:tc>
          <w:tcPr>
            <w:tcW w:w="2447" w:type="dxa"/>
          </w:tcPr>
          <w:p w:rsidR="001967A1" w:rsidRDefault="001967A1" w:rsidP="001967A1">
            <w:pPr>
              <w:spacing w:line="240" w:lineRule="auto"/>
              <w:ind w:firstLine="0"/>
            </w:pPr>
            <w:r>
              <w:t>2021</w:t>
            </w:r>
          </w:p>
        </w:tc>
        <w:tc>
          <w:tcPr>
            <w:tcW w:w="1774" w:type="dxa"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6</w:t>
            </w:r>
            <w:r w:rsidRPr="00F742E8">
              <w:t>0,0</w:t>
            </w:r>
          </w:p>
        </w:tc>
        <w:tc>
          <w:tcPr>
            <w:tcW w:w="111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6</w:t>
            </w:r>
            <w:r w:rsidRPr="00F742E8">
              <w:t>0,0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6</w:t>
            </w:r>
            <w:r w:rsidRPr="00F742E8">
              <w:t>0,0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6</w:t>
            </w:r>
            <w:r w:rsidRPr="00F742E8">
              <w:t>0,0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  <w:tr w:rsidR="001967A1" w:rsidRPr="00625FDA" w:rsidTr="001967A1">
        <w:trPr>
          <w:trHeight w:val="145"/>
        </w:trPr>
        <w:tc>
          <w:tcPr>
            <w:tcW w:w="523" w:type="dxa"/>
          </w:tcPr>
          <w:p w:rsidR="001967A1" w:rsidRDefault="001967A1" w:rsidP="002C117E">
            <w:pPr>
              <w:jc w:val="center"/>
            </w:pPr>
          </w:p>
        </w:tc>
        <w:tc>
          <w:tcPr>
            <w:tcW w:w="2447" w:type="dxa"/>
          </w:tcPr>
          <w:p w:rsidR="001967A1" w:rsidRPr="008410E5" w:rsidRDefault="001967A1" w:rsidP="001967A1">
            <w:pPr>
              <w:spacing w:line="240" w:lineRule="auto"/>
              <w:ind w:firstLine="0"/>
              <w:rPr>
                <w:b/>
              </w:rPr>
            </w:pPr>
            <w:r w:rsidRPr="008410E5">
              <w:rPr>
                <w:b/>
              </w:rPr>
              <w:t>ИТОГО</w:t>
            </w:r>
          </w:p>
        </w:tc>
        <w:tc>
          <w:tcPr>
            <w:tcW w:w="1774" w:type="dxa"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1214" w:type="dxa"/>
          </w:tcPr>
          <w:p w:rsidR="001967A1" w:rsidRPr="00D34E46" w:rsidRDefault="001967A1" w:rsidP="001967A1">
            <w:pPr>
              <w:spacing w:line="240" w:lineRule="auto"/>
              <w:ind w:firstLine="0"/>
            </w:pPr>
          </w:p>
        </w:tc>
        <w:tc>
          <w:tcPr>
            <w:tcW w:w="983" w:type="dxa"/>
          </w:tcPr>
          <w:p w:rsidR="001967A1" w:rsidRPr="00914869" w:rsidRDefault="001967A1" w:rsidP="001967A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497,66</w:t>
            </w:r>
          </w:p>
        </w:tc>
        <w:tc>
          <w:tcPr>
            <w:tcW w:w="1116" w:type="dxa"/>
          </w:tcPr>
          <w:p w:rsidR="001967A1" w:rsidRPr="00914869" w:rsidRDefault="001967A1" w:rsidP="001967A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497,66</w:t>
            </w:r>
          </w:p>
        </w:tc>
        <w:tc>
          <w:tcPr>
            <w:tcW w:w="976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77" w:type="dxa"/>
          </w:tcPr>
          <w:p w:rsidR="001967A1" w:rsidRPr="00914869" w:rsidRDefault="001967A1" w:rsidP="001967A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497,66</w:t>
            </w:r>
          </w:p>
        </w:tc>
        <w:tc>
          <w:tcPr>
            <w:tcW w:w="976" w:type="dxa"/>
          </w:tcPr>
          <w:p w:rsidR="001967A1" w:rsidRPr="00914869" w:rsidRDefault="001967A1" w:rsidP="001967A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497,66</w:t>
            </w:r>
          </w:p>
        </w:tc>
        <w:tc>
          <w:tcPr>
            <w:tcW w:w="977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 w:rsidRPr="00F742E8">
              <w:t>0,0</w:t>
            </w:r>
          </w:p>
        </w:tc>
        <w:tc>
          <w:tcPr>
            <w:tcW w:w="96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955" w:type="dxa"/>
          </w:tcPr>
          <w:p w:rsidR="001967A1" w:rsidRPr="00F742E8" w:rsidRDefault="001967A1" w:rsidP="001967A1">
            <w:pPr>
              <w:spacing w:line="240" w:lineRule="auto"/>
              <w:ind w:firstLine="0"/>
              <w:jc w:val="center"/>
            </w:pPr>
            <w:r>
              <w:t>100%</w:t>
            </w:r>
          </w:p>
        </w:tc>
        <w:tc>
          <w:tcPr>
            <w:tcW w:w="870" w:type="dxa"/>
          </w:tcPr>
          <w:p w:rsidR="001967A1" w:rsidRDefault="001967A1" w:rsidP="001967A1">
            <w:pPr>
              <w:spacing w:line="240" w:lineRule="auto"/>
              <w:ind w:firstLine="0"/>
              <w:jc w:val="center"/>
            </w:pPr>
          </w:p>
        </w:tc>
        <w:tc>
          <w:tcPr>
            <w:tcW w:w="978" w:type="dxa"/>
          </w:tcPr>
          <w:p w:rsidR="001967A1" w:rsidRPr="00625FDA" w:rsidRDefault="001967A1" w:rsidP="001967A1">
            <w:pPr>
              <w:spacing w:line="240" w:lineRule="auto"/>
              <w:ind w:firstLine="0"/>
              <w:jc w:val="center"/>
            </w:pPr>
          </w:p>
        </w:tc>
      </w:tr>
    </w:tbl>
    <w:p w:rsidR="001967A1" w:rsidRDefault="001967A1" w:rsidP="001967A1">
      <w:pPr>
        <w:rPr>
          <w:sz w:val="28"/>
          <w:szCs w:val="28"/>
        </w:rPr>
        <w:sectPr w:rsidR="001967A1" w:rsidSect="006A22F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967A1" w:rsidRPr="00FB23D7" w:rsidRDefault="001967A1" w:rsidP="001967A1">
      <w:pPr>
        <w:rPr>
          <w:sz w:val="28"/>
          <w:szCs w:val="26"/>
        </w:rPr>
      </w:pPr>
      <w:r w:rsidRPr="00FB23D7">
        <w:rPr>
          <w:sz w:val="28"/>
          <w:szCs w:val="26"/>
        </w:rPr>
        <w:lastRenderedPageBreak/>
        <w:t>Предусмотренные объемы бюджетного финансирования в целом по Пр</w:t>
      </w:r>
      <w:r w:rsidRPr="00FB23D7">
        <w:rPr>
          <w:sz w:val="28"/>
          <w:szCs w:val="26"/>
        </w:rPr>
        <w:t>о</w:t>
      </w:r>
      <w:r w:rsidRPr="00FB23D7">
        <w:rPr>
          <w:sz w:val="28"/>
          <w:szCs w:val="26"/>
        </w:rPr>
        <w:t>грамме составили 497,66</w:t>
      </w:r>
      <w:r w:rsidRPr="00FB23D7">
        <w:rPr>
          <w:b/>
        </w:rPr>
        <w:t xml:space="preserve"> </w:t>
      </w:r>
      <w:r w:rsidRPr="00FB23D7">
        <w:rPr>
          <w:sz w:val="28"/>
          <w:szCs w:val="26"/>
        </w:rPr>
        <w:t>тыс. рублей, фактически исполнено 497,66</w:t>
      </w:r>
      <w:r w:rsidRPr="00FB23D7">
        <w:rPr>
          <w:b/>
        </w:rPr>
        <w:t xml:space="preserve"> </w:t>
      </w:r>
      <w:r w:rsidRPr="00FB23D7">
        <w:rPr>
          <w:sz w:val="28"/>
          <w:szCs w:val="26"/>
        </w:rPr>
        <w:t xml:space="preserve"> тыс. ру</w:t>
      </w:r>
      <w:r w:rsidRPr="00FB23D7">
        <w:rPr>
          <w:sz w:val="28"/>
          <w:szCs w:val="26"/>
        </w:rPr>
        <w:t>б</w:t>
      </w:r>
      <w:r w:rsidRPr="00FB23D7">
        <w:rPr>
          <w:sz w:val="28"/>
          <w:szCs w:val="26"/>
        </w:rPr>
        <w:t xml:space="preserve">лей, что составило 100%, бюджетные средства освоены в полном объеме. </w:t>
      </w:r>
    </w:p>
    <w:p w:rsidR="001967A1" w:rsidRPr="00FB23D7" w:rsidRDefault="001967A1" w:rsidP="001967A1">
      <w:pPr>
        <w:rPr>
          <w:sz w:val="28"/>
          <w:szCs w:val="26"/>
        </w:rPr>
      </w:pPr>
      <w:r w:rsidRPr="00FB23D7">
        <w:rPr>
          <w:sz w:val="28"/>
          <w:szCs w:val="26"/>
        </w:rPr>
        <w:t>- средства бюджета городского</w:t>
      </w:r>
      <w:r>
        <w:rPr>
          <w:sz w:val="28"/>
          <w:szCs w:val="26"/>
        </w:rPr>
        <w:t xml:space="preserve"> округа</w:t>
      </w:r>
      <w:r w:rsidRPr="00FB23D7">
        <w:rPr>
          <w:sz w:val="28"/>
          <w:szCs w:val="26"/>
        </w:rPr>
        <w:t xml:space="preserve"> – составили 497,66</w:t>
      </w:r>
      <w:r w:rsidRPr="00FB23D7">
        <w:rPr>
          <w:b/>
        </w:rPr>
        <w:t xml:space="preserve"> </w:t>
      </w:r>
      <w:r w:rsidRPr="00FB23D7">
        <w:rPr>
          <w:sz w:val="28"/>
          <w:szCs w:val="26"/>
        </w:rPr>
        <w:t>тыс. рублей, фактически исполнено 497,66</w:t>
      </w:r>
      <w:r w:rsidRPr="00FB23D7">
        <w:rPr>
          <w:b/>
        </w:rPr>
        <w:t xml:space="preserve"> </w:t>
      </w:r>
      <w:r w:rsidRPr="00FB23D7">
        <w:rPr>
          <w:sz w:val="28"/>
          <w:szCs w:val="26"/>
        </w:rPr>
        <w:t>тыс. рублей, что составило 100 %;</w:t>
      </w:r>
    </w:p>
    <w:p w:rsidR="001967A1" w:rsidRPr="00FB23D7" w:rsidRDefault="001967A1" w:rsidP="001967A1">
      <w:pPr>
        <w:rPr>
          <w:sz w:val="28"/>
          <w:szCs w:val="26"/>
        </w:rPr>
      </w:pPr>
      <w:r w:rsidRPr="00FB23D7">
        <w:rPr>
          <w:sz w:val="28"/>
          <w:szCs w:val="26"/>
        </w:rPr>
        <w:t>- средства  иных источников – финансирование за счет иных источников не планировалось.</w:t>
      </w:r>
    </w:p>
    <w:p w:rsidR="001967A1" w:rsidRPr="00FB23D7" w:rsidRDefault="001967A1" w:rsidP="001967A1">
      <w:pPr>
        <w:rPr>
          <w:b/>
          <w:i/>
          <w:sz w:val="28"/>
          <w:szCs w:val="26"/>
        </w:rPr>
      </w:pPr>
      <w:r w:rsidRPr="00FB23D7">
        <w:rPr>
          <w:b/>
          <w:i/>
          <w:sz w:val="28"/>
          <w:szCs w:val="26"/>
        </w:rPr>
        <w:t>4.6. Предложения о дальнейшей реализации муниципальной програ</w:t>
      </w:r>
      <w:r w:rsidRPr="00FB23D7">
        <w:rPr>
          <w:b/>
          <w:i/>
          <w:sz w:val="28"/>
          <w:szCs w:val="26"/>
        </w:rPr>
        <w:t>м</w:t>
      </w:r>
      <w:r w:rsidRPr="00FB23D7">
        <w:rPr>
          <w:b/>
          <w:i/>
          <w:sz w:val="28"/>
          <w:szCs w:val="26"/>
        </w:rPr>
        <w:t>мы.</w:t>
      </w:r>
    </w:p>
    <w:p w:rsidR="001967A1" w:rsidRPr="00FB23D7" w:rsidRDefault="001967A1" w:rsidP="001967A1">
      <w:pPr>
        <w:rPr>
          <w:rStyle w:val="af8"/>
          <w:sz w:val="28"/>
          <w:szCs w:val="26"/>
        </w:rPr>
      </w:pPr>
      <w:r w:rsidRPr="00FB23D7">
        <w:rPr>
          <w:sz w:val="28"/>
          <w:szCs w:val="26"/>
        </w:rPr>
        <w:t>С учетом выполнения основных мероприятий и высокой степени дост</w:t>
      </w:r>
      <w:r w:rsidRPr="00FB23D7">
        <w:rPr>
          <w:sz w:val="28"/>
          <w:szCs w:val="26"/>
        </w:rPr>
        <w:t>и</w:t>
      </w:r>
      <w:r w:rsidRPr="00FB23D7">
        <w:rPr>
          <w:sz w:val="28"/>
          <w:szCs w:val="26"/>
        </w:rPr>
        <w:t>жения ожидаемых результатов реализации муниципальной программы «Пр</w:t>
      </w:r>
      <w:r w:rsidRPr="00FB23D7">
        <w:rPr>
          <w:sz w:val="28"/>
          <w:szCs w:val="26"/>
        </w:rPr>
        <w:t>е</w:t>
      </w:r>
      <w:r w:rsidRPr="00FB23D7">
        <w:rPr>
          <w:sz w:val="28"/>
          <w:szCs w:val="26"/>
        </w:rPr>
        <w:t>дупреждение чрезвычайных ситуаций и снижение масштабов последствий при их возникновении на территории городского округа Кинель на 2018-2022 г</w:t>
      </w:r>
      <w:r w:rsidRPr="00FB23D7">
        <w:rPr>
          <w:sz w:val="28"/>
          <w:szCs w:val="26"/>
        </w:rPr>
        <w:t>о</w:t>
      </w:r>
      <w:r w:rsidRPr="00FB23D7">
        <w:rPr>
          <w:sz w:val="28"/>
          <w:szCs w:val="26"/>
        </w:rPr>
        <w:t>ды» в 2021 году считаем целесообразным продолжить реализацию Програ</w:t>
      </w:r>
      <w:r w:rsidRPr="00FB23D7">
        <w:rPr>
          <w:sz w:val="28"/>
          <w:szCs w:val="26"/>
        </w:rPr>
        <w:t>м</w:t>
      </w:r>
      <w:r w:rsidRPr="00FB23D7">
        <w:rPr>
          <w:sz w:val="28"/>
          <w:szCs w:val="26"/>
        </w:rPr>
        <w:t>мы.</w:t>
      </w:r>
    </w:p>
    <w:p w:rsidR="001967A1" w:rsidRPr="001D66DA" w:rsidRDefault="001967A1" w:rsidP="001967A1">
      <w:pPr>
        <w:rPr>
          <w:sz w:val="26"/>
          <w:szCs w:val="26"/>
        </w:rPr>
      </w:pPr>
    </w:p>
    <w:p w:rsidR="001967A1" w:rsidRPr="001D66DA" w:rsidRDefault="001967A1" w:rsidP="001967A1">
      <w:pPr>
        <w:rPr>
          <w:sz w:val="26"/>
          <w:szCs w:val="26"/>
        </w:rPr>
      </w:pPr>
    </w:p>
    <w:p w:rsidR="001967A1" w:rsidRPr="00334C27" w:rsidRDefault="001967A1" w:rsidP="001967A1">
      <w:pPr>
        <w:rPr>
          <w:sz w:val="28"/>
          <w:szCs w:val="28"/>
        </w:rPr>
      </w:pPr>
    </w:p>
    <w:p w:rsidR="001967A1" w:rsidRDefault="001967A1" w:rsidP="0024574B">
      <w:pPr>
        <w:spacing w:line="240" w:lineRule="auto"/>
        <w:ind w:firstLine="0"/>
        <w:rPr>
          <w:sz w:val="28"/>
        </w:rPr>
      </w:pPr>
    </w:p>
    <w:p w:rsidR="001967A1" w:rsidRDefault="001967A1" w:rsidP="0024574B">
      <w:pPr>
        <w:spacing w:line="240" w:lineRule="auto"/>
        <w:ind w:firstLine="0"/>
        <w:rPr>
          <w:sz w:val="28"/>
        </w:rPr>
      </w:pPr>
    </w:p>
    <w:sectPr w:rsidR="001967A1" w:rsidSect="001305B6">
      <w:pgSz w:w="11906" w:h="16838"/>
      <w:pgMar w:top="964" w:right="113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6DC" w:rsidRDefault="000A46DC" w:rsidP="00BC38EB">
      <w:r>
        <w:separator/>
      </w:r>
    </w:p>
  </w:endnote>
  <w:endnote w:type="continuationSeparator" w:id="1">
    <w:p w:rsidR="000A46DC" w:rsidRDefault="000A46DC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6DC" w:rsidRDefault="000A46DC" w:rsidP="00BC38EB">
      <w:r>
        <w:separator/>
      </w:r>
    </w:p>
  </w:footnote>
  <w:footnote w:type="continuationSeparator" w:id="1">
    <w:p w:rsidR="000A46DC" w:rsidRDefault="000A46DC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C429E"/>
    <w:multiLevelType w:val="hybridMultilevel"/>
    <w:tmpl w:val="AD88B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448DA"/>
    <w:multiLevelType w:val="multilevel"/>
    <w:tmpl w:val="81FAF1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23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5"/>
  </w:num>
  <w:num w:numId="4">
    <w:abstractNumId w:val="32"/>
  </w:num>
  <w:num w:numId="5">
    <w:abstractNumId w:val="7"/>
  </w:num>
  <w:num w:numId="6">
    <w:abstractNumId w:val="14"/>
  </w:num>
  <w:num w:numId="7">
    <w:abstractNumId w:val="0"/>
  </w:num>
  <w:num w:numId="8">
    <w:abstractNumId w:val="18"/>
  </w:num>
  <w:num w:numId="9">
    <w:abstractNumId w:val="11"/>
  </w:num>
  <w:num w:numId="10">
    <w:abstractNumId w:val="10"/>
  </w:num>
  <w:num w:numId="11">
    <w:abstractNumId w:val="29"/>
  </w:num>
  <w:num w:numId="12">
    <w:abstractNumId w:val="16"/>
  </w:num>
  <w:num w:numId="13">
    <w:abstractNumId w:val="19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  <w:num w:numId="18">
    <w:abstractNumId w:val="20"/>
  </w:num>
  <w:num w:numId="19">
    <w:abstractNumId w:val="22"/>
  </w:num>
  <w:num w:numId="20">
    <w:abstractNumId w:val="24"/>
  </w:num>
  <w:num w:numId="21">
    <w:abstractNumId w:val="25"/>
  </w:num>
  <w:num w:numId="22">
    <w:abstractNumId w:val="28"/>
  </w:num>
  <w:num w:numId="23">
    <w:abstractNumId w:val="27"/>
  </w:num>
  <w:num w:numId="24">
    <w:abstractNumId w:val="26"/>
  </w:num>
  <w:num w:numId="25">
    <w:abstractNumId w:val="3"/>
  </w:num>
  <w:num w:numId="26">
    <w:abstractNumId w:val="34"/>
  </w:num>
  <w:num w:numId="27">
    <w:abstractNumId w:val="2"/>
  </w:num>
  <w:num w:numId="28">
    <w:abstractNumId w:val="15"/>
  </w:num>
  <w:num w:numId="29">
    <w:abstractNumId w:val="23"/>
  </w:num>
  <w:num w:numId="30">
    <w:abstractNumId w:val="17"/>
  </w:num>
  <w:num w:numId="31">
    <w:abstractNumId w:val="36"/>
  </w:num>
  <w:num w:numId="32">
    <w:abstractNumId w:val="1"/>
  </w:num>
  <w:num w:numId="33">
    <w:abstractNumId w:val="21"/>
  </w:num>
  <w:num w:numId="34">
    <w:abstractNumId w:val="8"/>
  </w:num>
  <w:num w:numId="35">
    <w:abstractNumId w:val="31"/>
  </w:num>
  <w:num w:numId="36">
    <w:abstractNumId w:val="30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0916"/>
    <w:rsid w:val="000129EF"/>
    <w:rsid w:val="0001449C"/>
    <w:rsid w:val="000144AD"/>
    <w:rsid w:val="000173BB"/>
    <w:rsid w:val="000201EF"/>
    <w:rsid w:val="00021400"/>
    <w:rsid w:val="0002775D"/>
    <w:rsid w:val="00030E91"/>
    <w:rsid w:val="00033460"/>
    <w:rsid w:val="0004063C"/>
    <w:rsid w:val="00042748"/>
    <w:rsid w:val="00042772"/>
    <w:rsid w:val="000459B4"/>
    <w:rsid w:val="00050CC9"/>
    <w:rsid w:val="00053521"/>
    <w:rsid w:val="000608DC"/>
    <w:rsid w:val="00060E57"/>
    <w:rsid w:val="0006220A"/>
    <w:rsid w:val="0006308A"/>
    <w:rsid w:val="0006525E"/>
    <w:rsid w:val="000655DA"/>
    <w:rsid w:val="00070376"/>
    <w:rsid w:val="0007382A"/>
    <w:rsid w:val="00073AB4"/>
    <w:rsid w:val="00075D9D"/>
    <w:rsid w:val="00076030"/>
    <w:rsid w:val="0007765A"/>
    <w:rsid w:val="000778B5"/>
    <w:rsid w:val="00077960"/>
    <w:rsid w:val="00082AC1"/>
    <w:rsid w:val="00091362"/>
    <w:rsid w:val="00095F81"/>
    <w:rsid w:val="000A02C5"/>
    <w:rsid w:val="000A043D"/>
    <w:rsid w:val="000A45FE"/>
    <w:rsid w:val="000A46DC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E5A9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73BB"/>
    <w:rsid w:val="001210B9"/>
    <w:rsid w:val="0012203E"/>
    <w:rsid w:val="0012332E"/>
    <w:rsid w:val="0012396F"/>
    <w:rsid w:val="00124FDF"/>
    <w:rsid w:val="0012545D"/>
    <w:rsid w:val="00125A5C"/>
    <w:rsid w:val="00126B2C"/>
    <w:rsid w:val="001305B6"/>
    <w:rsid w:val="0013504A"/>
    <w:rsid w:val="00144CF6"/>
    <w:rsid w:val="00151E46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878A6"/>
    <w:rsid w:val="00191402"/>
    <w:rsid w:val="00191A4F"/>
    <w:rsid w:val="00192AEB"/>
    <w:rsid w:val="001967A1"/>
    <w:rsid w:val="00197308"/>
    <w:rsid w:val="001A333A"/>
    <w:rsid w:val="001A34D9"/>
    <w:rsid w:val="001A50EE"/>
    <w:rsid w:val="001A551A"/>
    <w:rsid w:val="001B58BF"/>
    <w:rsid w:val="001B7FDF"/>
    <w:rsid w:val="001C131C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524A5"/>
    <w:rsid w:val="00255A8D"/>
    <w:rsid w:val="002617F4"/>
    <w:rsid w:val="00264100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97F3C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0459"/>
    <w:rsid w:val="002C0798"/>
    <w:rsid w:val="002C3FAC"/>
    <w:rsid w:val="002C5DED"/>
    <w:rsid w:val="002C7CAE"/>
    <w:rsid w:val="002D0FC4"/>
    <w:rsid w:val="002D62EF"/>
    <w:rsid w:val="002E0558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278FA"/>
    <w:rsid w:val="00336B14"/>
    <w:rsid w:val="00346B48"/>
    <w:rsid w:val="003543DE"/>
    <w:rsid w:val="00356F98"/>
    <w:rsid w:val="003601CB"/>
    <w:rsid w:val="00361657"/>
    <w:rsid w:val="003670FF"/>
    <w:rsid w:val="003679D3"/>
    <w:rsid w:val="00373898"/>
    <w:rsid w:val="00376304"/>
    <w:rsid w:val="003821BC"/>
    <w:rsid w:val="00383BA7"/>
    <w:rsid w:val="003843DD"/>
    <w:rsid w:val="00386D17"/>
    <w:rsid w:val="0038751D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0931"/>
    <w:rsid w:val="003B5675"/>
    <w:rsid w:val="003B76B7"/>
    <w:rsid w:val="003C7E8E"/>
    <w:rsid w:val="003D1558"/>
    <w:rsid w:val="003D3425"/>
    <w:rsid w:val="003D7DC8"/>
    <w:rsid w:val="003E2348"/>
    <w:rsid w:val="003E3005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4753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A5154"/>
    <w:rsid w:val="004B1C8E"/>
    <w:rsid w:val="004B308E"/>
    <w:rsid w:val="004B3450"/>
    <w:rsid w:val="004B56F6"/>
    <w:rsid w:val="004B708D"/>
    <w:rsid w:val="004C57B8"/>
    <w:rsid w:val="004C5AC2"/>
    <w:rsid w:val="004D1567"/>
    <w:rsid w:val="004D6EE7"/>
    <w:rsid w:val="004D6F35"/>
    <w:rsid w:val="004D7B97"/>
    <w:rsid w:val="004E00B9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4257E"/>
    <w:rsid w:val="00552871"/>
    <w:rsid w:val="00552E5D"/>
    <w:rsid w:val="00555173"/>
    <w:rsid w:val="00560094"/>
    <w:rsid w:val="00561B79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8662F"/>
    <w:rsid w:val="005923BA"/>
    <w:rsid w:val="00593199"/>
    <w:rsid w:val="005969CB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E5DCD"/>
    <w:rsid w:val="005E656B"/>
    <w:rsid w:val="005F2939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47EA"/>
    <w:rsid w:val="006550DE"/>
    <w:rsid w:val="006562A6"/>
    <w:rsid w:val="00660807"/>
    <w:rsid w:val="00661391"/>
    <w:rsid w:val="006613D4"/>
    <w:rsid w:val="006614BB"/>
    <w:rsid w:val="00662B1E"/>
    <w:rsid w:val="00672A56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7589"/>
    <w:rsid w:val="006A060A"/>
    <w:rsid w:val="006A114B"/>
    <w:rsid w:val="006A4538"/>
    <w:rsid w:val="006B29A2"/>
    <w:rsid w:val="006B7EBA"/>
    <w:rsid w:val="006C0224"/>
    <w:rsid w:val="006C3C5B"/>
    <w:rsid w:val="006C6C9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1BC7"/>
    <w:rsid w:val="0073468F"/>
    <w:rsid w:val="00734C17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D7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95419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36EB"/>
    <w:rsid w:val="007E60E0"/>
    <w:rsid w:val="007E6629"/>
    <w:rsid w:val="007E6DBD"/>
    <w:rsid w:val="007F42CE"/>
    <w:rsid w:val="007F5014"/>
    <w:rsid w:val="007F5E72"/>
    <w:rsid w:val="007F7693"/>
    <w:rsid w:val="00802048"/>
    <w:rsid w:val="00802A77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65D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44A"/>
    <w:rsid w:val="0089460C"/>
    <w:rsid w:val="008A17B0"/>
    <w:rsid w:val="008A2CA8"/>
    <w:rsid w:val="008A602F"/>
    <w:rsid w:val="008A6277"/>
    <w:rsid w:val="008A68DA"/>
    <w:rsid w:val="008A7C1A"/>
    <w:rsid w:val="008A7FC2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3469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61DD8"/>
    <w:rsid w:val="00963A21"/>
    <w:rsid w:val="00966045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7DC5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02F5D"/>
    <w:rsid w:val="00A05C14"/>
    <w:rsid w:val="00A10106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93F18"/>
    <w:rsid w:val="00AA234C"/>
    <w:rsid w:val="00AA340C"/>
    <w:rsid w:val="00AA5799"/>
    <w:rsid w:val="00AA6C96"/>
    <w:rsid w:val="00AB2225"/>
    <w:rsid w:val="00AB2A42"/>
    <w:rsid w:val="00AC0ACB"/>
    <w:rsid w:val="00AC0BC2"/>
    <w:rsid w:val="00AC487C"/>
    <w:rsid w:val="00AD3984"/>
    <w:rsid w:val="00AD5EC3"/>
    <w:rsid w:val="00AE065B"/>
    <w:rsid w:val="00AE267C"/>
    <w:rsid w:val="00AE5DEB"/>
    <w:rsid w:val="00AE6338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27349"/>
    <w:rsid w:val="00B31B02"/>
    <w:rsid w:val="00B36620"/>
    <w:rsid w:val="00B40F3E"/>
    <w:rsid w:val="00B42B35"/>
    <w:rsid w:val="00B50883"/>
    <w:rsid w:val="00B53A40"/>
    <w:rsid w:val="00B60831"/>
    <w:rsid w:val="00B7624A"/>
    <w:rsid w:val="00B764CB"/>
    <w:rsid w:val="00B8419C"/>
    <w:rsid w:val="00B847B9"/>
    <w:rsid w:val="00B86339"/>
    <w:rsid w:val="00B86A3A"/>
    <w:rsid w:val="00B90091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D69BE"/>
    <w:rsid w:val="00BE0793"/>
    <w:rsid w:val="00BE1F4A"/>
    <w:rsid w:val="00BE31A4"/>
    <w:rsid w:val="00BE7627"/>
    <w:rsid w:val="00BF07ED"/>
    <w:rsid w:val="00BF1510"/>
    <w:rsid w:val="00BF2161"/>
    <w:rsid w:val="00BF4EF7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17495"/>
    <w:rsid w:val="00C21B6C"/>
    <w:rsid w:val="00C23BB8"/>
    <w:rsid w:val="00C24195"/>
    <w:rsid w:val="00C25828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34C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87871"/>
    <w:rsid w:val="00D903B3"/>
    <w:rsid w:val="00D95465"/>
    <w:rsid w:val="00D95A86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07A4"/>
    <w:rsid w:val="00DE3098"/>
    <w:rsid w:val="00DE5813"/>
    <w:rsid w:val="00DF0FA6"/>
    <w:rsid w:val="00E040E4"/>
    <w:rsid w:val="00E13781"/>
    <w:rsid w:val="00E15BF0"/>
    <w:rsid w:val="00E16137"/>
    <w:rsid w:val="00E17AC9"/>
    <w:rsid w:val="00E17E30"/>
    <w:rsid w:val="00E202A7"/>
    <w:rsid w:val="00E2765C"/>
    <w:rsid w:val="00E36E71"/>
    <w:rsid w:val="00E407AB"/>
    <w:rsid w:val="00E45753"/>
    <w:rsid w:val="00E5011C"/>
    <w:rsid w:val="00E51E31"/>
    <w:rsid w:val="00E531A2"/>
    <w:rsid w:val="00E552D7"/>
    <w:rsid w:val="00E556FD"/>
    <w:rsid w:val="00E5798A"/>
    <w:rsid w:val="00E57CD0"/>
    <w:rsid w:val="00E602B1"/>
    <w:rsid w:val="00E7401C"/>
    <w:rsid w:val="00E834EE"/>
    <w:rsid w:val="00E84793"/>
    <w:rsid w:val="00E84836"/>
    <w:rsid w:val="00E86C8A"/>
    <w:rsid w:val="00E92AC2"/>
    <w:rsid w:val="00EA08EE"/>
    <w:rsid w:val="00EA33A9"/>
    <w:rsid w:val="00EA45E9"/>
    <w:rsid w:val="00EA5A82"/>
    <w:rsid w:val="00EA6322"/>
    <w:rsid w:val="00EA6563"/>
    <w:rsid w:val="00EA77E1"/>
    <w:rsid w:val="00EB0F46"/>
    <w:rsid w:val="00EC093F"/>
    <w:rsid w:val="00EC1A1E"/>
    <w:rsid w:val="00EC1CAC"/>
    <w:rsid w:val="00EC33D2"/>
    <w:rsid w:val="00EC5F55"/>
    <w:rsid w:val="00ED2A86"/>
    <w:rsid w:val="00EE0B56"/>
    <w:rsid w:val="00EE17DD"/>
    <w:rsid w:val="00EE673A"/>
    <w:rsid w:val="00EE7A54"/>
    <w:rsid w:val="00EF0C4F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D0A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0243"/>
    <w:rsid w:val="00F61205"/>
    <w:rsid w:val="00F719DB"/>
    <w:rsid w:val="00F765BC"/>
    <w:rsid w:val="00F8173C"/>
    <w:rsid w:val="00F82099"/>
    <w:rsid w:val="00F84A18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0E75"/>
    <w:rsid w:val="00FD2E75"/>
    <w:rsid w:val="00FE1BC0"/>
    <w:rsid w:val="00FE79F9"/>
    <w:rsid w:val="00FF1D03"/>
    <w:rsid w:val="00FF4FD3"/>
    <w:rsid w:val="00FF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aliases w:val="ТЗ список,Абзац списка литеральный,Булет1,1Булет,it_List1,Нумерованый список,Bullet List,FooterText,numbered,SL_Абзац списка"/>
    <w:basedOn w:val="a"/>
    <w:link w:val="a5"/>
    <w:uiPriority w:val="34"/>
    <w:qFormat/>
    <w:rsid w:val="00103D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9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b">
    <w:name w:val="header"/>
    <w:basedOn w:val="a"/>
    <w:link w:val="ac"/>
    <w:unhideWhenUsed/>
    <w:rsid w:val="00BC3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C3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38E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C4753F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4619C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619CD"/>
    <w:rPr>
      <w:sz w:val="24"/>
      <w:szCs w:val="24"/>
    </w:rPr>
  </w:style>
  <w:style w:type="character" w:customStyle="1" w:styleId="af2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sid w:val="0096604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A05C14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8">
    <w:name w:val="Intense Reference"/>
    <w:basedOn w:val="a0"/>
    <w:uiPriority w:val="32"/>
    <w:qFormat/>
    <w:rsid w:val="001967A1"/>
    <w:rPr>
      <w:b/>
      <w:bCs/>
      <w:smallCaps/>
      <w:color w:val="C0504D" w:themeColor="accent2"/>
      <w:spacing w:val="5"/>
      <w:u w:val="single"/>
    </w:rPr>
  </w:style>
  <w:style w:type="character" w:customStyle="1" w:styleId="a5">
    <w:name w:val="Абзац списка Знак"/>
    <w:aliases w:val="ТЗ список Знак,Абзац списка литеральный Знак,Булет1 Знак,1Булет Знак,it_List1 Знак,Нумерованый список Знак,Bullet List Знак,FooterText Знак,numbered Знак,SL_Абзац списка Знак"/>
    <w:link w:val="a4"/>
    <w:uiPriority w:val="34"/>
    <w:locked/>
    <w:rsid w:val="001967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B6AA-2916-4BB3-AB6C-5A9F5DF3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7301</TotalTime>
  <Pages>9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PrimeBox</cp:lastModifiedBy>
  <cp:revision>351</cp:revision>
  <cp:lastPrinted>2022-03-16T06:51:00Z</cp:lastPrinted>
  <dcterms:created xsi:type="dcterms:W3CDTF">2010-01-15T08:14:00Z</dcterms:created>
  <dcterms:modified xsi:type="dcterms:W3CDTF">2022-03-17T12:10:00Z</dcterms:modified>
</cp:coreProperties>
</file>