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53481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534816" w:rsidRPr="00534816">
        <w:rPr>
          <w:rFonts w:ascii="Times New Roman" w:hAnsi="Times New Roman" w:cs="Times New Roman"/>
          <w:sz w:val="28"/>
          <w:szCs w:val="28"/>
          <w:u w:val="single"/>
        </w:rPr>
        <w:t>проект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16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534816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34816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977E36" w:rsidRPr="00977E36" w:rsidRDefault="00BA4520" w:rsidP="00977E36">
      <w:pPr>
        <w:pStyle w:val="Default"/>
      </w:pPr>
      <w:r w:rsidRPr="009F015F">
        <w:rPr>
          <w:szCs w:val="28"/>
        </w:rPr>
        <w:t>1.5. Описание цели предлагаемого правового регулирования и краткое</w:t>
      </w:r>
      <w:r w:rsidR="00B669CC">
        <w:rPr>
          <w:szCs w:val="28"/>
        </w:rPr>
        <w:t xml:space="preserve"> </w:t>
      </w:r>
      <w:r w:rsidRPr="00B669CC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977E36" w:rsidRPr="00977E36">
        <w:trPr>
          <w:trHeight w:val="1213"/>
        </w:trPr>
        <w:tc>
          <w:tcPr>
            <w:tcW w:w="9568" w:type="dxa"/>
          </w:tcPr>
          <w:p w:rsidR="00977E36" w:rsidRPr="00977E36" w:rsidRDefault="00977E36" w:rsidP="00977E3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Theme="minorHAnsi"/>
                <w:color w:val="000000"/>
                <w:szCs w:val="28"/>
                <w:u w:val="single"/>
                <w:lang w:eastAsia="en-US"/>
              </w:rPr>
            </w:pPr>
            <w:r w:rsidRPr="00977E36"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 xml:space="preserve"> Благоустройство </w:t>
            </w:r>
            <w:r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 xml:space="preserve">городского округа Кинель </w:t>
            </w:r>
            <w:r w:rsidRPr="00977E36"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>является многопрофильной задачей в решении которой принимают участие органы местного самоуправления, юридические лица, индивидуальные предприниматели и физические лица. Необходимость обобщения и детализации норм и требований к созданию, содержанию объект</w:t>
            </w:r>
            <w:r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>ов</w:t>
            </w:r>
            <w:r w:rsidRPr="00977E36"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 xml:space="preserve"> и элемент</w:t>
            </w:r>
            <w:r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>ов</w:t>
            </w:r>
            <w:r w:rsidRPr="00977E36"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 xml:space="preserve"> благоустройства</w:t>
            </w:r>
            <w:r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 xml:space="preserve"> </w:t>
            </w:r>
            <w:r w:rsidRPr="00977E36"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>обусловлена тем, что требования к объектам и элементам благоустройства устанавливаются значительным количеством нормативных правовых актов, технических документов, СНиПов и т.п. и их консолидация в единых Правилах благоустройства упрощает как проведение работ по благоустройству так и контроль за их исполнением.</w:t>
            </w:r>
            <w:r>
              <w:rPr>
                <w:rFonts w:eastAsiaTheme="minorHAnsi"/>
                <w:color w:val="000000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:rsidR="00BA4520" w:rsidRDefault="00217D29" w:rsidP="00977E36">
      <w:pPr>
        <w:ind w:firstLine="709"/>
        <w:contextualSpacing/>
        <w:jc w:val="both"/>
        <w:rPr>
          <w:szCs w:val="28"/>
          <w:u w:val="single"/>
        </w:rPr>
      </w:pPr>
      <w:r w:rsidRPr="00977E36">
        <w:rPr>
          <w:szCs w:val="28"/>
          <w:u w:val="single"/>
        </w:rPr>
        <w:t>Целью предлагаемого</w:t>
      </w:r>
      <w:r w:rsidRPr="00217D29">
        <w:rPr>
          <w:szCs w:val="28"/>
          <w:u w:val="single"/>
        </w:rPr>
        <w:t xml:space="preserve"> правового регулирования </w:t>
      </w:r>
      <w:r>
        <w:rPr>
          <w:szCs w:val="28"/>
          <w:u w:val="single"/>
        </w:rPr>
        <w:t xml:space="preserve">является </w:t>
      </w:r>
      <w:r w:rsidRPr="007B3B57">
        <w:rPr>
          <w:szCs w:val="28"/>
          <w:u w:val="single"/>
        </w:rPr>
        <w:t>определ</w:t>
      </w:r>
      <w:r>
        <w:rPr>
          <w:szCs w:val="28"/>
          <w:u w:val="single"/>
        </w:rPr>
        <w:t>ение</w:t>
      </w:r>
      <w:r w:rsidRPr="007B3B57">
        <w:rPr>
          <w:szCs w:val="28"/>
          <w:u w:val="single"/>
        </w:rPr>
        <w:t xml:space="preserve"> степен</w:t>
      </w:r>
      <w:r>
        <w:rPr>
          <w:szCs w:val="28"/>
          <w:u w:val="single"/>
        </w:rPr>
        <w:t>и</w:t>
      </w:r>
      <w:r w:rsidRPr="007B3B57">
        <w:rPr>
          <w:szCs w:val="28"/>
          <w:u w:val="single"/>
        </w:rPr>
        <w:t xml:space="preserve">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  <w:r>
        <w:rPr>
          <w:szCs w:val="28"/>
          <w:u w:val="single"/>
        </w:rPr>
        <w:t xml:space="preserve"> Также целью </w:t>
      </w:r>
      <w:r w:rsidRPr="00217D29">
        <w:rPr>
          <w:szCs w:val="28"/>
          <w:u w:val="single"/>
        </w:rPr>
        <w:t xml:space="preserve">предлагаемого правового регулирования </w:t>
      </w:r>
      <w:r>
        <w:rPr>
          <w:szCs w:val="28"/>
          <w:u w:val="single"/>
        </w:rPr>
        <w:t xml:space="preserve">является установление порядка </w:t>
      </w:r>
      <w:r w:rsidRPr="007B3B57">
        <w:rPr>
          <w:szCs w:val="28"/>
          <w:u w:val="single"/>
        </w:rPr>
        <w:t>определения границ прилегающих территорий</w:t>
      </w:r>
      <w:r>
        <w:rPr>
          <w:szCs w:val="28"/>
          <w:u w:val="single"/>
        </w:rPr>
        <w:t xml:space="preserve"> и </w:t>
      </w:r>
      <w:r w:rsidRPr="007B3B57">
        <w:rPr>
          <w:szCs w:val="28"/>
          <w:u w:val="single"/>
        </w:rPr>
        <w:t>привед</w:t>
      </w:r>
      <w:r>
        <w:rPr>
          <w:szCs w:val="28"/>
          <w:u w:val="single"/>
        </w:rPr>
        <w:t>ение</w:t>
      </w:r>
      <w:r w:rsidRPr="007B3B57">
        <w:rPr>
          <w:szCs w:val="28"/>
          <w:u w:val="single"/>
        </w:rPr>
        <w:t xml:space="preserve"> переч</w:t>
      </w:r>
      <w:r>
        <w:rPr>
          <w:szCs w:val="28"/>
          <w:u w:val="single"/>
        </w:rPr>
        <w:t>ня</w:t>
      </w:r>
      <w:r w:rsidRPr="007B3B57">
        <w:rPr>
          <w:szCs w:val="28"/>
          <w:u w:val="single"/>
        </w:rPr>
        <w:t xml:space="preserve"> нестационарных торговых объектов в соответствие с Законом Самарской области от 5 июля 2010г. №76-ГД "О государственном регулировании торговой деятельности</w:t>
      </w:r>
      <w:r>
        <w:rPr>
          <w:szCs w:val="28"/>
          <w:u w:val="single"/>
        </w:rPr>
        <w:t xml:space="preserve"> </w:t>
      </w:r>
      <w:r w:rsidRPr="007B3B57">
        <w:rPr>
          <w:szCs w:val="28"/>
          <w:u w:val="single"/>
        </w:rPr>
        <w:t>на территории Самарской области".</w:t>
      </w:r>
    </w:p>
    <w:p w:rsidR="00722734" w:rsidRPr="005C1FBE" w:rsidRDefault="00217D29" w:rsidP="00722734">
      <w:pPr>
        <w:ind w:firstLine="709"/>
        <w:contextualSpacing/>
        <w:jc w:val="both"/>
        <w:rPr>
          <w:szCs w:val="28"/>
          <w:u w:val="single"/>
        </w:rPr>
      </w:pPr>
      <w:r w:rsidRPr="00722734">
        <w:rPr>
          <w:szCs w:val="28"/>
          <w:u w:val="single"/>
        </w:rPr>
        <w:t>Предлагаемый способ правового регулирования</w:t>
      </w:r>
      <w:r w:rsidR="00722734" w:rsidRPr="00722734">
        <w:rPr>
          <w:szCs w:val="28"/>
          <w:u w:val="single"/>
        </w:rPr>
        <w:t xml:space="preserve"> направлен на решение </w:t>
      </w:r>
      <w:r w:rsidRPr="00722734">
        <w:rPr>
          <w:szCs w:val="28"/>
          <w:u w:val="single"/>
        </w:rPr>
        <w:t xml:space="preserve">проблемы </w:t>
      </w:r>
      <w:r w:rsidR="00722734" w:rsidRPr="005C1FBE">
        <w:rPr>
          <w:szCs w:val="28"/>
          <w:u w:val="single"/>
        </w:rPr>
        <w:t>благоустройств</w:t>
      </w:r>
      <w:r w:rsidR="00722734">
        <w:rPr>
          <w:szCs w:val="28"/>
          <w:u w:val="single"/>
        </w:rPr>
        <w:t>а</w:t>
      </w:r>
      <w:r w:rsidR="00722734" w:rsidRPr="005C1FBE">
        <w:rPr>
          <w:szCs w:val="28"/>
          <w:u w:val="single"/>
        </w:rPr>
        <w:t xml:space="preserve"> </w:t>
      </w:r>
      <w:r w:rsidR="00722734">
        <w:rPr>
          <w:szCs w:val="28"/>
          <w:u w:val="single"/>
        </w:rPr>
        <w:t xml:space="preserve">прилегающих к </w:t>
      </w:r>
      <w:r w:rsidR="00722734" w:rsidRPr="007B3B57">
        <w:rPr>
          <w:szCs w:val="28"/>
          <w:u w:val="single"/>
        </w:rPr>
        <w:t>здани</w:t>
      </w:r>
      <w:r w:rsidR="00722734">
        <w:rPr>
          <w:szCs w:val="28"/>
          <w:u w:val="single"/>
        </w:rPr>
        <w:t>ям</w:t>
      </w:r>
      <w:r w:rsidR="00722734" w:rsidRPr="007B3B57">
        <w:rPr>
          <w:szCs w:val="28"/>
          <w:u w:val="single"/>
        </w:rPr>
        <w:t>, строени</w:t>
      </w:r>
      <w:r w:rsidR="00722734">
        <w:rPr>
          <w:szCs w:val="28"/>
          <w:u w:val="single"/>
        </w:rPr>
        <w:t>я</w:t>
      </w:r>
      <w:r w:rsidR="00722734" w:rsidRPr="007B3B57">
        <w:rPr>
          <w:szCs w:val="28"/>
          <w:u w:val="single"/>
        </w:rPr>
        <w:t>, сооружени</w:t>
      </w:r>
      <w:r w:rsidR="00722734">
        <w:rPr>
          <w:szCs w:val="28"/>
          <w:u w:val="single"/>
        </w:rPr>
        <w:t>ям</w:t>
      </w:r>
      <w:r w:rsidR="00722734" w:rsidRPr="007B3B57">
        <w:rPr>
          <w:szCs w:val="28"/>
          <w:u w:val="single"/>
        </w:rPr>
        <w:t>, земельны</w:t>
      </w:r>
      <w:r w:rsidR="00722734">
        <w:rPr>
          <w:szCs w:val="28"/>
          <w:u w:val="single"/>
        </w:rPr>
        <w:t>м</w:t>
      </w:r>
      <w:r w:rsidR="00722734" w:rsidRPr="007B3B57">
        <w:rPr>
          <w:szCs w:val="28"/>
          <w:u w:val="single"/>
        </w:rPr>
        <w:t xml:space="preserve"> участк</w:t>
      </w:r>
      <w:r w:rsidR="00722734">
        <w:rPr>
          <w:szCs w:val="28"/>
          <w:u w:val="single"/>
        </w:rPr>
        <w:t>ам физических и юридических лиц</w:t>
      </w:r>
      <w:r w:rsidR="00722734" w:rsidRPr="007B3B57">
        <w:rPr>
          <w:szCs w:val="28"/>
          <w:u w:val="single"/>
        </w:rPr>
        <w:t xml:space="preserve"> </w:t>
      </w:r>
      <w:r w:rsidR="00722734" w:rsidRPr="005C1FBE">
        <w:rPr>
          <w:szCs w:val="28"/>
          <w:u w:val="single"/>
        </w:rPr>
        <w:t>территори</w:t>
      </w:r>
      <w:r w:rsidR="00722734">
        <w:rPr>
          <w:szCs w:val="28"/>
          <w:u w:val="single"/>
        </w:rPr>
        <w:t>й</w:t>
      </w:r>
      <w:r w:rsidR="00722734" w:rsidRPr="005C1FBE">
        <w:rPr>
          <w:szCs w:val="28"/>
          <w:u w:val="single"/>
        </w:rPr>
        <w:t xml:space="preserve"> городского </w:t>
      </w:r>
      <w:r w:rsidR="00722734" w:rsidRPr="005C1FBE">
        <w:rPr>
          <w:szCs w:val="28"/>
          <w:u w:val="single"/>
        </w:rPr>
        <w:lastRenderedPageBreak/>
        <w:t>округа</w:t>
      </w:r>
      <w:r w:rsidR="00722734">
        <w:rPr>
          <w:szCs w:val="28"/>
          <w:u w:val="single"/>
        </w:rPr>
        <w:t xml:space="preserve">. Данным способом правового регулирования будет решён вопрос объёма </w:t>
      </w:r>
      <w:r w:rsidR="00722734" w:rsidRPr="005C1FBE">
        <w:rPr>
          <w:szCs w:val="28"/>
          <w:u w:val="single"/>
        </w:rPr>
        <w:t>участи</w:t>
      </w:r>
      <w:r w:rsidR="00722734">
        <w:rPr>
          <w:szCs w:val="28"/>
          <w:u w:val="single"/>
        </w:rPr>
        <w:t xml:space="preserve">я граждан проживающих в городском округе </w:t>
      </w:r>
      <w:r w:rsidR="00722734" w:rsidRPr="007B3B57">
        <w:rPr>
          <w:szCs w:val="28"/>
          <w:u w:val="single"/>
        </w:rPr>
        <w:t>в содержании прилегающих территорий</w:t>
      </w:r>
      <w:r w:rsidR="00722734" w:rsidRPr="005C1FBE">
        <w:rPr>
          <w:szCs w:val="28"/>
          <w:u w:val="single"/>
        </w:rPr>
        <w:t>.</w:t>
      </w:r>
    </w:p>
    <w:p w:rsidR="00977E36" w:rsidRDefault="00AE0B1D" w:rsidP="00977E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232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977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36" w:rsidRPr="00977E36" w:rsidRDefault="00977E36" w:rsidP="00977E3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520" w:rsidRPr="00977E36">
        <w:rPr>
          <w:rFonts w:ascii="Times New Roman" w:hAnsi="Times New Roman" w:cs="Times New Roman"/>
          <w:sz w:val="28"/>
          <w:szCs w:val="28"/>
        </w:rPr>
        <w:t>начало:</w:t>
      </w:r>
      <w:r w:rsidRPr="00977E36">
        <w:rPr>
          <w:rFonts w:ascii="Times New Roman" w:hAnsi="Times New Roman" w:cs="Times New Roman"/>
          <w:sz w:val="28"/>
          <w:szCs w:val="28"/>
          <w:u w:val="single"/>
        </w:rPr>
        <w:t xml:space="preserve"> 22.08.2018г.;</w:t>
      </w:r>
    </w:p>
    <w:p w:rsidR="00977E36" w:rsidRPr="00977E36" w:rsidRDefault="00977E36" w:rsidP="00977E3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7E36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Pr="00977E36">
        <w:rPr>
          <w:rFonts w:ascii="Times New Roman" w:hAnsi="Times New Roman" w:cs="Times New Roman"/>
          <w:sz w:val="28"/>
          <w:szCs w:val="28"/>
          <w:u w:val="single"/>
        </w:rPr>
        <w:t xml:space="preserve">04.09.2018г. </w:t>
      </w:r>
    </w:p>
    <w:p w:rsidR="00BA4520" w:rsidRPr="009B0914" w:rsidRDefault="00AE0B1D" w:rsidP="00977E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7316B4">
        <w:rPr>
          <w:rFonts w:ascii="Times New Roman" w:hAnsi="Times New Roman" w:cs="Times New Roman"/>
          <w:sz w:val="28"/>
          <w:szCs w:val="28"/>
        </w:rPr>
        <w:t xml:space="preserve"> 1.7. Количество    </w:t>
      </w:r>
      <w:r w:rsidR="00BA4520"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A4520"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A4520"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977E36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FA" w:rsidRPr="00AD343C" w:rsidRDefault="00860CFA" w:rsidP="00860CFA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u w:val="single"/>
        </w:rPr>
        <w:t xml:space="preserve">- </w:t>
      </w:r>
      <w:r w:rsidRPr="00AD343C">
        <w:rPr>
          <w:rFonts w:eastAsiaTheme="minorHAnsi"/>
          <w:szCs w:val="28"/>
          <w:u w:val="single"/>
        </w:rPr>
        <w:t>физические лица,</w:t>
      </w:r>
    </w:p>
    <w:p w:rsidR="00860CFA" w:rsidRPr="00AD343C" w:rsidRDefault="00860CFA" w:rsidP="00860CFA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 xml:space="preserve">-  юридические лица, </w:t>
      </w:r>
    </w:p>
    <w:p w:rsidR="00860CFA" w:rsidRPr="00AD343C" w:rsidRDefault="00860CFA" w:rsidP="00860CFA">
      <w:pPr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p w:rsidR="00BA4520" w:rsidRPr="009B0914" w:rsidRDefault="00BA4520" w:rsidP="00860CF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860C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566336" w:rsidRDefault="009B154C" w:rsidP="00860CFA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566336">
        <w:rPr>
          <w:szCs w:val="28"/>
        </w:rPr>
        <w:t xml:space="preserve"> </w:t>
      </w:r>
      <w:r w:rsidR="00566336" w:rsidRPr="00566336">
        <w:rPr>
          <w:szCs w:val="28"/>
          <w:u w:val="single"/>
        </w:rPr>
        <w:t>Органы местного самоуправления городского округа</w:t>
      </w:r>
      <w:r w:rsidR="00566336">
        <w:rPr>
          <w:szCs w:val="28"/>
          <w:u w:val="single"/>
        </w:rPr>
        <w:t>, в случае поступления соответствующего заявления</w:t>
      </w:r>
      <w:r w:rsidR="004F27DC">
        <w:rPr>
          <w:szCs w:val="28"/>
          <w:u w:val="single"/>
        </w:rPr>
        <w:t>, будут о</w:t>
      </w:r>
      <w:r w:rsidR="00566336">
        <w:rPr>
          <w:szCs w:val="28"/>
          <w:u w:val="single"/>
        </w:rPr>
        <w:t>бязан</w:t>
      </w:r>
      <w:r w:rsidR="004F27DC">
        <w:rPr>
          <w:szCs w:val="28"/>
          <w:u w:val="single"/>
        </w:rPr>
        <w:t>ы</w:t>
      </w:r>
      <w:r w:rsidR="00566336">
        <w:rPr>
          <w:szCs w:val="28"/>
          <w:u w:val="single"/>
        </w:rPr>
        <w:t xml:space="preserve"> подготовить </w:t>
      </w:r>
      <w:r w:rsidR="00566336" w:rsidRPr="00566336">
        <w:rPr>
          <w:szCs w:val="28"/>
          <w:u w:val="single"/>
        </w:rPr>
        <w:t>соглашение об определении границ прилегающей территории, заключаем</w:t>
      </w:r>
      <w:r w:rsidR="00566336">
        <w:rPr>
          <w:szCs w:val="28"/>
          <w:u w:val="single"/>
        </w:rPr>
        <w:t>ое</w:t>
      </w:r>
      <w:r w:rsidR="00566336" w:rsidRPr="00566336">
        <w:rPr>
          <w:szCs w:val="28"/>
          <w:u w:val="single"/>
        </w:rPr>
        <w:t xml:space="preserve"> </w:t>
      </w:r>
      <w:r w:rsidR="004F27DC">
        <w:rPr>
          <w:szCs w:val="28"/>
          <w:u w:val="single"/>
        </w:rPr>
        <w:t xml:space="preserve">с </w:t>
      </w:r>
      <w:r w:rsidR="00566336" w:rsidRPr="00566336">
        <w:rPr>
          <w:szCs w:val="28"/>
          <w:u w:val="single"/>
        </w:rPr>
        <w:t>собственником или иным законным владельцем здания, строения, сооружения, земельного участка либо уполномоченным лицом</w:t>
      </w:r>
      <w:r w:rsidR="00566336">
        <w:rPr>
          <w:szCs w:val="28"/>
          <w:u w:val="single"/>
        </w:rPr>
        <w:t xml:space="preserve">. А также, в случае если указанные лица не предоставили самостоятельно, подготовить </w:t>
      </w:r>
      <w:r w:rsidR="00566336" w:rsidRPr="00566336">
        <w:rPr>
          <w:szCs w:val="28"/>
          <w:u w:val="single"/>
        </w:rPr>
        <w:t>карту-схему прилегающей территории, которая будет являться приложением к названному соглашению.</w:t>
      </w:r>
      <w:r w:rsidR="00881C3B" w:rsidRPr="00566336">
        <w:rPr>
          <w:szCs w:val="28"/>
          <w:u w:val="single"/>
        </w:rPr>
        <w:t xml:space="preserve"> </w:t>
      </w:r>
    </w:p>
    <w:p w:rsidR="004F27DC" w:rsidRPr="004F27DC" w:rsidRDefault="00BA4520" w:rsidP="004F27DC">
      <w:pPr>
        <w:ind w:firstLine="709"/>
        <w:contextualSpacing/>
        <w:jc w:val="both"/>
        <w:rPr>
          <w:rFonts w:eastAsia="Calibri"/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r w:rsidRPr="00566336">
        <w:rPr>
          <w:szCs w:val="28"/>
        </w:rPr>
        <w:t>положений</w:t>
      </w:r>
      <w:r w:rsidR="00566336">
        <w:rPr>
          <w:szCs w:val="28"/>
        </w:rPr>
        <w:t xml:space="preserve"> </w:t>
      </w:r>
      <w:r w:rsidR="00566336" w:rsidRPr="00566336">
        <w:rPr>
          <w:szCs w:val="28"/>
          <w:u w:val="single"/>
        </w:rPr>
        <w:t>проектом нормативного акта устанавливается</w:t>
      </w:r>
      <w:r w:rsidR="00566336">
        <w:rPr>
          <w:szCs w:val="28"/>
          <w:u w:val="single"/>
        </w:rPr>
        <w:t xml:space="preserve"> перечень о</w:t>
      </w:r>
      <w:r w:rsidR="00566336" w:rsidRPr="00566336">
        <w:rPr>
          <w:szCs w:val="28"/>
          <w:u w:val="single"/>
        </w:rPr>
        <w:t>бязательны</w:t>
      </w:r>
      <w:r w:rsidR="00566336">
        <w:rPr>
          <w:szCs w:val="28"/>
          <w:u w:val="single"/>
        </w:rPr>
        <w:t xml:space="preserve">х </w:t>
      </w:r>
      <w:r w:rsidR="00566336" w:rsidRPr="00566336">
        <w:rPr>
          <w:szCs w:val="28"/>
          <w:u w:val="single"/>
        </w:rPr>
        <w:t>элемент</w:t>
      </w:r>
      <w:r w:rsidR="00566336">
        <w:rPr>
          <w:szCs w:val="28"/>
          <w:u w:val="single"/>
        </w:rPr>
        <w:t>ов</w:t>
      </w:r>
      <w:r w:rsidR="00566336" w:rsidRPr="00566336">
        <w:rPr>
          <w:szCs w:val="28"/>
          <w:u w:val="single"/>
        </w:rPr>
        <w:t xml:space="preserve"> благоустройства прилегающей территории к зданию, строению, сооружению, земельному участку принадлежащему юридическому лицу или находящемся в пользовании у юридического лица и (или) индивидуального предпринимателя</w:t>
      </w:r>
      <w:r w:rsidR="00566336">
        <w:rPr>
          <w:szCs w:val="28"/>
          <w:u w:val="single"/>
        </w:rPr>
        <w:t xml:space="preserve">. Для </w:t>
      </w:r>
      <w:r w:rsidR="00566336" w:rsidRPr="007B05D2">
        <w:rPr>
          <w:szCs w:val="28"/>
          <w:u w:val="single"/>
        </w:rPr>
        <w:t>физически</w:t>
      </w:r>
      <w:r w:rsidR="007B05D2">
        <w:rPr>
          <w:szCs w:val="28"/>
          <w:u w:val="single"/>
        </w:rPr>
        <w:t>х</w:t>
      </w:r>
      <w:r w:rsidR="00566336" w:rsidRPr="007B05D2">
        <w:rPr>
          <w:szCs w:val="28"/>
          <w:u w:val="single"/>
        </w:rPr>
        <w:t xml:space="preserve"> и юридически</w:t>
      </w:r>
      <w:r w:rsidR="007B05D2">
        <w:rPr>
          <w:szCs w:val="28"/>
          <w:u w:val="single"/>
        </w:rPr>
        <w:t>х</w:t>
      </w:r>
      <w:r w:rsidR="00566336" w:rsidRPr="007B05D2">
        <w:rPr>
          <w:szCs w:val="28"/>
          <w:u w:val="single"/>
        </w:rPr>
        <w:t xml:space="preserve"> лиц, независимо от их организационно-правовых форм, индивидуальны</w:t>
      </w:r>
      <w:r w:rsidR="007B05D2">
        <w:rPr>
          <w:szCs w:val="28"/>
          <w:u w:val="single"/>
        </w:rPr>
        <w:t>х</w:t>
      </w:r>
      <w:r w:rsidR="00566336" w:rsidRPr="007B05D2">
        <w:rPr>
          <w:szCs w:val="28"/>
          <w:u w:val="single"/>
        </w:rPr>
        <w:t xml:space="preserve"> предпринимател</w:t>
      </w:r>
      <w:r w:rsidR="007B05D2">
        <w:rPr>
          <w:szCs w:val="28"/>
          <w:u w:val="single"/>
        </w:rPr>
        <w:t>ей</w:t>
      </w:r>
      <w:r w:rsidR="00566336" w:rsidRPr="007B05D2">
        <w:rPr>
          <w:szCs w:val="28"/>
          <w:u w:val="single"/>
        </w:rPr>
        <w:t xml:space="preserve"> </w:t>
      </w:r>
      <w:r w:rsidR="007B05D2">
        <w:rPr>
          <w:szCs w:val="28"/>
          <w:u w:val="single"/>
        </w:rPr>
        <w:t xml:space="preserve">проектом нормативного акта установлена обязанность </w:t>
      </w:r>
      <w:r w:rsidR="00566336" w:rsidRPr="007B05D2">
        <w:rPr>
          <w:szCs w:val="28"/>
          <w:u w:val="single"/>
        </w:rPr>
        <w:t>обеспечиват</w:t>
      </w:r>
      <w:r w:rsidR="007B05D2">
        <w:rPr>
          <w:szCs w:val="28"/>
          <w:u w:val="single"/>
        </w:rPr>
        <w:t>ь</w:t>
      </w:r>
      <w:r w:rsidR="00566336" w:rsidRPr="007B05D2">
        <w:rPr>
          <w:szCs w:val="28"/>
          <w:u w:val="single"/>
        </w:rPr>
        <w:t xml:space="preserve"> своевременную и качественную уборку, содержание прилегающей к их зданию, строению, сооружению, земельному участку в случае, если такой земельный участок образован, территории, а также </w:t>
      </w:r>
      <w:r w:rsidR="007B05D2">
        <w:rPr>
          <w:szCs w:val="28"/>
          <w:u w:val="single"/>
        </w:rPr>
        <w:t xml:space="preserve">обязанность </w:t>
      </w:r>
      <w:r w:rsidR="007B05D2">
        <w:rPr>
          <w:szCs w:val="28"/>
          <w:u w:val="single"/>
        </w:rPr>
        <w:lastRenderedPageBreak/>
        <w:t xml:space="preserve">осуществлять </w:t>
      </w:r>
      <w:r w:rsidR="00566336" w:rsidRPr="007B05D2">
        <w:rPr>
          <w:szCs w:val="28"/>
          <w:u w:val="single"/>
        </w:rPr>
        <w:t>покос травы на этой территории и исправное техническое состояние принадлежащих им ограждений (заборов).</w:t>
      </w:r>
      <w:r w:rsidR="004F27DC">
        <w:rPr>
          <w:szCs w:val="28"/>
          <w:u w:val="single"/>
        </w:rPr>
        <w:t xml:space="preserve"> На </w:t>
      </w:r>
      <w:r w:rsidR="004F27DC" w:rsidRPr="004F27DC">
        <w:rPr>
          <w:szCs w:val="28"/>
          <w:u w:val="single"/>
        </w:rPr>
        <w:t>собственников объектов капитального строительства проект нормативного акта возлагает обязанность очищать канавы и трубы для стока воды, проходящие по прилегающей территории.</w:t>
      </w:r>
    </w:p>
    <w:p w:rsidR="00BA4520" w:rsidRPr="00BE69F0" w:rsidRDefault="00BA4520" w:rsidP="00BE69F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69F0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     решения     проблемы участниками</w:t>
      </w:r>
    </w:p>
    <w:p w:rsidR="00BE69F0" w:rsidRPr="00BE69F0" w:rsidRDefault="00BA4520" w:rsidP="00BE69F0">
      <w:pPr>
        <w:pStyle w:val="Default"/>
        <w:contextualSpacing/>
        <w:jc w:val="both"/>
        <w:rPr>
          <w:sz w:val="28"/>
          <w:szCs w:val="28"/>
        </w:rPr>
      </w:pPr>
      <w:r w:rsidRPr="00BE69F0">
        <w:rPr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BE69F0" w:rsidRPr="00BE69F0">
        <w:rPr>
          <w:sz w:val="28"/>
          <w:szCs w:val="28"/>
          <w:u w:val="single"/>
        </w:rPr>
        <w:t>Решение обозначенной проблемы без вмешательства администрации город</w:t>
      </w:r>
      <w:r w:rsidR="00BE69F0">
        <w:rPr>
          <w:sz w:val="28"/>
          <w:szCs w:val="28"/>
          <w:u w:val="single"/>
        </w:rPr>
        <w:t>ского округа</w:t>
      </w:r>
      <w:r w:rsidR="00BE69F0" w:rsidRPr="00BE69F0">
        <w:rPr>
          <w:sz w:val="28"/>
          <w:szCs w:val="28"/>
          <w:u w:val="single"/>
        </w:rPr>
        <w:t xml:space="preserve"> невозможно, утверждение Правил благоустройства </w:t>
      </w:r>
      <w:r w:rsidR="00BE69F0" w:rsidRPr="00534816">
        <w:rPr>
          <w:sz w:val="28"/>
          <w:szCs w:val="28"/>
          <w:u w:val="single"/>
        </w:rPr>
        <w:t>территории городского округа Кинель Самарской области</w:t>
      </w:r>
      <w:r w:rsidR="00BE69F0" w:rsidRPr="00BE69F0">
        <w:rPr>
          <w:sz w:val="28"/>
          <w:szCs w:val="28"/>
          <w:u w:val="single"/>
        </w:rPr>
        <w:t xml:space="preserve"> обусловлено необходимостью реализации полномочий органов местного самоуправления по решению вопросов местного значения обозначенных в пункте 25 части 1 статьи</w:t>
      </w:r>
      <w:r w:rsidR="00BE69F0">
        <w:rPr>
          <w:sz w:val="28"/>
          <w:szCs w:val="28"/>
          <w:u w:val="single"/>
        </w:rPr>
        <w:t xml:space="preserve"> </w:t>
      </w:r>
      <w:r w:rsidR="00BE69F0" w:rsidRPr="00BE69F0">
        <w:rPr>
          <w:sz w:val="28"/>
          <w:szCs w:val="28"/>
          <w:u w:val="single"/>
        </w:rPr>
        <w:t>16 Федерального закона от 06</w:t>
      </w:r>
      <w:r w:rsidR="00BE69F0">
        <w:rPr>
          <w:sz w:val="28"/>
          <w:szCs w:val="28"/>
          <w:u w:val="single"/>
        </w:rPr>
        <w:t xml:space="preserve"> октября </w:t>
      </w:r>
      <w:r w:rsidR="00BE69F0" w:rsidRPr="00BE69F0">
        <w:rPr>
          <w:sz w:val="28"/>
          <w:szCs w:val="28"/>
          <w:u w:val="single"/>
        </w:rPr>
        <w:t>2003 №131-ФЗ "Об общих принципах организации местного самоуправления в Российской Федерации". При этом, обеспечение исполнения Правил благоустройства</w:t>
      </w:r>
      <w:r w:rsidR="00BE69F0">
        <w:rPr>
          <w:sz w:val="28"/>
          <w:szCs w:val="28"/>
          <w:u w:val="single"/>
        </w:rPr>
        <w:t xml:space="preserve"> </w:t>
      </w:r>
      <w:r w:rsidR="00BE69F0" w:rsidRPr="00534816">
        <w:rPr>
          <w:sz w:val="28"/>
          <w:szCs w:val="28"/>
          <w:u w:val="single"/>
        </w:rPr>
        <w:t>территории городского округа Кинель Самарской области</w:t>
      </w:r>
      <w:r w:rsidR="00BE69F0" w:rsidRPr="00BE69F0">
        <w:rPr>
          <w:sz w:val="28"/>
          <w:szCs w:val="28"/>
          <w:u w:val="single"/>
        </w:rPr>
        <w:t xml:space="preserve"> является компетенцией соответствующих структурных подразделений администрации город</w:t>
      </w:r>
      <w:r w:rsidR="00BE69F0">
        <w:rPr>
          <w:sz w:val="28"/>
          <w:szCs w:val="28"/>
          <w:u w:val="single"/>
        </w:rPr>
        <w:t>ского округа</w:t>
      </w:r>
      <w:r w:rsidR="00BE69F0" w:rsidRPr="00BE69F0">
        <w:rPr>
          <w:sz w:val="28"/>
          <w:szCs w:val="28"/>
          <w:u w:val="single"/>
        </w:rPr>
        <w:t>.</w:t>
      </w:r>
      <w:r w:rsidR="00BE69F0" w:rsidRPr="00BE69F0">
        <w:rPr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6B" w:rsidRDefault="0071296B" w:rsidP="0071296B">
            <w:pPr>
              <w:pStyle w:val="Default"/>
            </w:pPr>
          </w:p>
          <w:p w:rsidR="00BA4520" w:rsidRPr="0071296B" w:rsidRDefault="0071296B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296B">
              <w:rPr>
                <w:sz w:val="24"/>
                <w:szCs w:val="24"/>
              </w:rPr>
              <w:t>оздание благоприятных и безопасных условий для проживания граждан на территории город</w:t>
            </w:r>
            <w:r>
              <w:rPr>
                <w:sz w:val="24"/>
                <w:szCs w:val="24"/>
              </w:rPr>
              <w:t xml:space="preserve">ского округа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</w:t>
            </w:r>
            <w:r w:rsidR="00BE69F0">
              <w:rPr>
                <w:sz w:val="24"/>
                <w:szCs w:val="24"/>
              </w:rPr>
              <w:t>дневно</w:t>
            </w:r>
          </w:p>
        </w:tc>
      </w:tr>
    </w:tbl>
    <w:p w:rsidR="009F3AE5" w:rsidRPr="00BE69F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1296B">
        <w:rPr>
          <w:rFonts w:ascii="Times New Roman" w:hAnsi="Times New Roman" w:cs="Times New Roman"/>
          <w:sz w:val="28"/>
          <w:szCs w:val="28"/>
        </w:rPr>
        <w:t xml:space="preserve"> </w:t>
      </w:r>
      <w:r w:rsidR="0071296B" w:rsidRPr="0071296B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29 декабря 2017г. №463-ФЗ "О внесении изменений в Федеральный закон "Об общих принципах организации местного самоуправления в Российской </w:t>
      </w:r>
      <w:r w:rsidR="0071296B" w:rsidRPr="00BE69F0">
        <w:rPr>
          <w:rFonts w:ascii="Times New Roman" w:hAnsi="Times New Roman" w:cs="Times New Roman"/>
          <w:sz w:val="28"/>
          <w:szCs w:val="28"/>
          <w:u w:val="single"/>
        </w:rPr>
        <w:t>Федерации" и отдельные законодательные акты Российской Федерации"</w:t>
      </w:r>
      <w:r w:rsidR="00BE69F0" w:rsidRPr="00BE69F0">
        <w:rPr>
          <w:rFonts w:ascii="Times New Roman" w:hAnsi="Times New Roman" w:cs="Times New Roman"/>
          <w:sz w:val="28"/>
          <w:szCs w:val="28"/>
          <w:u w:val="single"/>
        </w:rPr>
        <w:t xml:space="preserve"> и Закон Самарской области от 13 июня 2018г. №48-ГД «О порядке определения границ прилегающих территорий для целей благоустройства в Самарской области»</w:t>
      </w:r>
    </w:p>
    <w:p w:rsidR="00BA4520" w:rsidRPr="00BE69F0" w:rsidRDefault="00B521D8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BE69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 xml:space="preserve">3.5. Цели предлагаемого </w:t>
            </w:r>
            <w:r w:rsidRPr="003B7D60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3.6. Индикаторы достижения целей </w:t>
            </w:r>
            <w:r w:rsidRPr="005726C6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3.7. Единица измерения </w:t>
            </w:r>
            <w:r w:rsidRPr="005726C6">
              <w:rPr>
                <w:sz w:val="24"/>
                <w:szCs w:val="24"/>
              </w:rPr>
              <w:lastRenderedPageBreak/>
              <w:t>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3.8. Целевые значения </w:t>
            </w:r>
            <w:r w:rsidRPr="005726C6">
              <w:rPr>
                <w:sz w:val="24"/>
                <w:szCs w:val="24"/>
              </w:rPr>
              <w:lastRenderedPageBreak/>
              <w:t>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71296B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71296B">
              <w:rPr>
                <w:sz w:val="24"/>
                <w:szCs w:val="24"/>
              </w:rPr>
              <w:t>оздание благоприятных и безопасных условий для проживания граждан на территории город</w:t>
            </w:r>
            <w:r>
              <w:rPr>
                <w:sz w:val="24"/>
                <w:szCs w:val="24"/>
              </w:rPr>
              <w:t>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  <w:r w:rsidR="006A1A27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18235A" w:rsidRDefault="00BA4520" w:rsidP="001823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(ограничений) потенциальных адресатов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предлагаемого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правового  регулирования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27" w:rsidRPr="006A1A27">
        <w:rPr>
          <w:rFonts w:ascii="Times New Roman" w:hAnsi="Times New Roman" w:cs="Times New Roman"/>
          <w:sz w:val="28"/>
          <w:szCs w:val="28"/>
          <w:u w:val="single"/>
        </w:rPr>
        <w:t>расходы (доходы) н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е предполагаются</w:t>
      </w:r>
      <w:r w:rsidR="00182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296B" w:rsidRPr="0018235A" w:rsidRDefault="00BA4520" w:rsidP="001823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 xml:space="preserve">Издержки от принятия нормативного правового акта не выявлены. Выгодами от принятия нормативного правового акта являются повышение комфортности городской среды, повышение инвестиционной привлекательности </w:t>
      </w:r>
      <w:r w:rsidR="006A1A27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71296B" w:rsidRPr="0018235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A1A27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6A1A27">
              <w:rPr>
                <w:sz w:val="24"/>
                <w:szCs w:val="24"/>
              </w:rPr>
              <w:t>Принятие</w:t>
            </w:r>
            <w:r w:rsidR="00513D04" w:rsidRPr="006A1A27">
              <w:rPr>
                <w:sz w:val="24"/>
                <w:szCs w:val="24"/>
              </w:rPr>
              <w:t xml:space="preserve"> решения Думы городского округа Кинель Самарской области «</w:t>
            </w:r>
            <w:r w:rsidR="006A1A27" w:rsidRPr="006A1A27">
              <w:rPr>
                <w:sz w:val="24"/>
                <w:szCs w:val="24"/>
              </w:rPr>
      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</w:t>
            </w:r>
            <w:r w:rsidR="00513D04" w:rsidRPr="006A1A27">
              <w:rPr>
                <w:sz w:val="24"/>
                <w:szCs w:val="24"/>
              </w:rPr>
              <w:t>»</w:t>
            </w:r>
            <w:r w:rsidRPr="006A1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8.4. Оценка расходов (доходов) бюджета городского округа Кинель, связанных с введением предлагаемого правового </w:t>
            </w:r>
            <w:r w:rsidRPr="005726C6">
              <w:rPr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7B518F" w:rsidRDefault="002428D3" w:rsidP="006A1A27">
      <w:pPr>
        <w:pStyle w:val="Default"/>
        <w:jc w:val="both"/>
        <w:rPr>
          <w:sz w:val="28"/>
          <w:szCs w:val="28"/>
          <w:u w:val="single"/>
        </w:rPr>
      </w:pPr>
      <w:r>
        <w:rPr>
          <w:szCs w:val="28"/>
        </w:rPr>
        <w:t xml:space="preserve">     </w:t>
      </w:r>
      <w:r w:rsidR="00BA4520" w:rsidRPr="007B518F">
        <w:rPr>
          <w:sz w:val="28"/>
          <w:szCs w:val="28"/>
        </w:rPr>
        <w:t>8.8. Детальное описание   предлагаемого   варианта решения проблемы</w:t>
      </w:r>
      <w:r w:rsidR="0032583E">
        <w:rPr>
          <w:szCs w:val="28"/>
        </w:rPr>
        <w:t xml:space="preserve"> </w:t>
      </w:r>
      <w:r w:rsidR="006A1A27" w:rsidRPr="006A1A27">
        <w:rPr>
          <w:sz w:val="28"/>
          <w:szCs w:val="28"/>
          <w:u w:val="single"/>
        </w:rPr>
        <w:t>принятие нормативного акта обеспечит</w:t>
      </w:r>
      <w:r w:rsidR="007B518F">
        <w:rPr>
          <w:sz w:val="28"/>
          <w:szCs w:val="28"/>
          <w:u w:val="single"/>
        </w:rPr>
        <w:t>:</w:t>
      </w:r>
    </w:p>
    <w:p w:rsidR="007B518F" w:rsidRPr="007B518F" w:rsidRDefault="006A1A27" w:rsidP="007B518F">
      <w:pPr>
        <w:pStyle w:val="Default"/>
        <w:ind w:firstLine="709"/>
        <w:contextualSpacing/>
        <w:jc w:val="both"/>
        <w:rPr>
          <w:sz w:val="28"/>
          <w:szCs w:val="28"/>
          <w:u w:val="single"/>
        </w:rPr>
      </w:pPr>
      <w:r w:rsidRPr="007B518F">
        <w:rPr>
          <w:sz w:val="28"/>
          <w:szCs w:val="28"/>
          <w:u w:val="single"/>
        </w:rPr>
        <w:t>обобщение и детализацию участия, в том числе, 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 Требования к объектам и элементам благоустройства</w:t>
      </w:r>
      <w:r w:rsidR="007B518F" w:rsidRPr="007B518F">
        <w:rPr>
          <w:sz w:val="28"/>
          <w:szCs w:val="28"/>
          <w:u w:val="single"/>
        </w:rPr>
        <w:t>.</w:t>
      </w:r>
    </w:p>
    <w:p w:rsidR="006A1A27" w:rsidRPr="007B518F" w:rsidRDefault="007B518F" w:rsidP="007B518F">
      <w:pPr>
        <w:pStyle w:val="Default"/>
        <w:ind w:firstLine="709"/>
        <w:contextualSpacing/>
        <w:jc w:val="both"/>
        <w:rPr>
          <w:sz w:val="28"/>
          <w:szCs w:val="28"/>
          <w:u w:val="single"/>
        </w:rPr>
      </w:pPr>
      <w:r w:rsidRPr="007B518F">
        <w:rPr>
          <w:sz w:val="28"/>
          <w:szCs w:val="28"/>
          <w:u w:val="single"/>
        </w:rPr>
        <w:t xml:space="preserve">Установление порядка определения границ прилегающих территорий. </w:t>
      </w:r>
      <w:r w:rsidR="006A1A27" w:rsidRPr="007B518F">
        <w:rPr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32583E">
        <w:t>0</w:t>
      </w:r>
      <w:r w:rsidR="00B521D8">
        <w:t>5</w:t>
      </w:r>
      <w:bookmarkStart w:id="2" w:name="_GoBack"/>
      <w:bookmarkEnd w:id="2"/>
      <w:r w:rsidR="00740F68">
        <w:t>.0</w:t>
      </w:r>
      <w:r w:rsidR="007B518F">
        <w:t>9</w:t>
      </w:r>
      <w:r w:rsidR="00740F68">
        <w:t>.2018г.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18235A"/>
    <w:rsid w:val="00217D29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2583E"/>
    <w:rsid w:val="00363EC9"/>
    <w:rsid w:val="003A673E"/>
    <w:rsid w:val="003B7D60"/>
    <w:rsid w:val="00400C96"/>
    <w:rsid w:val="00417106"/>
    <w:rsid w:val="00485646"/>
    <w:rsid w:val="004F27DC"/>
    <w:rsid w:val="00513D04"/>
    <w:rsid w:val="00520996"/>
    <w:rsid w:val="00534816"/>
    <w:rsid w:val="00534E68"/>
    <w:rsid w:val="005408E8"/>
    <w:rsid w:val="00552600"/>
    <w:rsid w:val="00566336"/>
    <w:rsid w:val="005726C6"/>
    <w:rsid w:val="005A1654"/>
    <w:rsid w:val="005D0B0A"/>
    <w:rsid w:val="005F3232"/>
    <w:rsid w:val="006374C7"/>
    <w:rsid w:val="00691B58"/>
    <w:rsid w:val="006A1A27"/>
    <w:rsid w:val="006C35EB"/>
    <w:rsid w:val="0071296B"/>
    <w:rsid w:val="00722734"/>
    <w:rsid w:val="007316B4"/>
    <w:rsid w:val="00740F68"/>
    <w:rsid w:val="00743B79"/>
    <w:rsid w:val="007504EF"/>
    <w:rsid w:val="00780B32"/>
    <w:rsid w:val="007929A6"/>
    <w:rsid w:val="007B05D2"/>
    <w:rsid w:val="007B518F"/>
    <w:rsid w:val="00860CFA"/>
    <w:rsid w:val="00881C3B"/>
    <w:rsid w:val="00961939"/>
    <w:rsid w:val="00964E80"/>
    <w:rsid w:val="00977E36"/>
    <w:rsid w:val="00981245"/>
    <w:rsid w:val="009B154C"/>
    <w:rsid w:val="009D6E45"/>
    <w:rsid w:val="009F015F"/>
    <w:rsid w:val="009F3AE5"/>
    <w:rsid w:val="00A21607"/>
    <w:rsid w:val="00AE0B1D"/>
    <w:rsid w:val="00B11F2A"/>
    <w:rsid w:val="00B521D8"/>
    <w:rsid w:val="00B669CC"/>
    <w:rsid w:val="00BA4520"/>
    <w:rsid w:val="00BE69F0"/>
    <w:rsid w:val="00BF610A"/>
    <w:rsid w:val="00CA561D"/>
    <w:rsid w:val="00E82CD8"/>
    <w:rsid w:val="00EA6D99"/>
    <w:rsid w:val="00F958AE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F77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1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1296B"/>
    <w:pPr>
      <w:spacing w:before="100" w:beforeAutospacing="1"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516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2017-08-02T08:42:00Z</cp:lastPrinted>
  <dcterms:created xsi:type="dcterms:W3CDTF">2017-03-13T06:12:00Z</dcterms:created>
  <dcterms:modified xsi:type="dcterms:W3CDTF">2018-09-05T07:15:00Z</dcterms:modified>
</cp:coreProperties>
</file>