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397"/>
        <w:gridCol w:w="1560"/>
        <w:gridCol w:w="3403"/>
      </w:tblGrid>
      <w:tr w:rsidR="000212A5" w:rsidTr="000212A5">
        <w:tc>
          <w:tcPr>
            <w:tcW w:w="4395" w:type="dxa"/>
          </w:tcPr>
          <w:p w:rsidR="000212A5" w:rsidRDefault="000212A5" w:rsidP="000212A5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0212A5" w:rsidRDefault="000212A5" w:rsidP="000212A5">
            <w:pPr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0212A5" w:rsidRDefault="000212A5" w:rsidP="000212A5">
            <w:pPr>
              <w:ind w:left="34"/>
              <w:jc w:val="center"/>
              <w:rPr>
                <w:lang w:eastAsia="en-US"/>
              </w:rPr>
            </w:pPr>
          </w:p>
          <w:p w:rsidR="000212A5" w:rsidRDefault="000212A5" w:rsidP="000212A5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0212A5" w:rsidRDefault="000212A5" w:rsidP="000212A5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0212A5" w:rsidRDefault="000212A5" w:rsidP="000212A5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0212A5" w:rsidRDefault="000212A5" w:rsidP="000212A5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0212A5" w:rsidRDefault="000212A5" w:rsidP="000212A5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0212A5" w:rsidRDefault="000212A5" w:rsidP="000212A5">
            <w:pPr>
              <w:ind w:left="34"/>
              <w:jc w:val="center"/>
              <w:rPr>
                <w:lang w:eastAsia="en-US"/>
              </w:rPr>
            </w:pPr>
          </w:p>
          <w:p w:rsidR="000212A5" w:rsidRDefault="000212A5" w:rsidP="000212A5">
            <w:pPr>
              <w:ind w:left="34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                     </w:t>
            </w:r>
            <w:r>
              <w:rPr>
                <w:lang w:eastAsia="en-US"/>
              </w:rPr>
              <w:t>№_______</w:t>
            </w:r>
          </w:p>
          <w:p w:rsidR="000212A5" w:rsidRDefault="000212A5" w:rsidP="000212A5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4961" w:type="dxa"/>
            <w:gridSpan w:val="2"/>
          </w:tcPr>
          <w:p w:rsidR="000212A5" w:rsidRPr="000212A5" w:rsidRDefault="000212A5" w:rsidP="000212A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0212A5" w:rsidTr="000212A5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0212A5" w:rsidRDefault="000212A5" w:rsidP="000212A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2184, от 03.08.2015 № 2367, от</w:t>
            </w:r>
            <w:proofErr w:type="gramEnd"/>
            <w:r>
              <w:rPr>
                <w:szCs w:val="28"/>
                <w:lang w:eastAsia="en-US"/>
              </w:rPr>
              <w:t> </w:t>
            </w:r>
            <w:proofErr w:type="gramStart"/>
            <w:r>
              <w:rPr>
                <w:szCs w:val="28"/>
                <w:lang w:eastAsia="en-US"/>
              </w:rPr>
              <w:t>11.09.2015 № 2881, от 30.09.2015 № 3101, от 31.12.2015 № 4132)</w:t>
            </w:r>
            <w:proofErr w:type="gramEnd"/>
          </w:p>
        </w:tc>
      </w:tr>
    </w:tbl>
    <w:p w:rsidR="000212A5" w:rsidRDefault="000212A5" w:rsidP="000212A5">
      <w:pPr>
        <w:pStyle w:val="3"/>
        <w:shd w:val="clear" w:color="auto" w:fill="auto"/>
        <w:spacing w:before="0" w:after="177" w:line="240" w:lineRule="auto"/>
        <w:ind w:right="20" w:firstLine="680"/>
        <w:rPr>
          <w:sz w:val="28"/>
          <w:szCs w:val="28"/>
        </w:rPr>
      </w:pPr>
    </w:p>
    <w:p w:rsidR="000212A5" w:rsidRDefault="000212A5" w:rsidP="000212A5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Кинель,</w:t>
      </w:r>
    </w:p>
    <w:p w:rsidR="000212A5" w:rsidRDefault="000212A5" w:rsidP="000212A5">
      <w:pPr>
        <w:spacing w:before="120" w:after="120"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0212A5" w:rsidRDefault="000212A5" w:rsidP="000212A5">
      <w:pPr>
        <w:numPr>
          <w:ilvl w:val="0"/>
          <w:numId w:val="1"/>
        </w:numPr>
        <w:tabs>
          <w:tab w:val="left" w:pos="1080"/>
        </w:tabs>
        <w:spacing w:before="120"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постановление администрации городского округа Кинель Самарской области от 30.09.2013 № 2878 «Об 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 изменениями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>
        <w:rPr>
          <w:szCs w:val="28"/>
        </w:rPr>
        <w:t>, от 30.09.2015 № 3101, от 31.12.2015 № 4132), следующие изменения: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lastRenderedPageBreak/>
        <w:t>Пункт 3 постановления изложить в новой редакции: «3. </w:t>
      </w:r>
      <w:proofErr w:type="gramStart"/>
      <w:r>
        <w:t>Контроль за</w:t>
      </w:r>
      <w:proofErr w:type="gramEnd"/>
      <w:r>
        <w:t xml:space="preserve"> исполнением муниципальной программы возложить на заместителя Главы городского округа Кинель по ЖКХ.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Приложении № 1 Паспорт муниципальной программы, таблицу 1 раздела 3, р</w:t>
      </w:r>
      <w:r>
        <w:rPr>
          <w:rStyle w:val="a7"/>
          <w:b w:val="0"/>
          <w:bCs w:val="0"/>
          <w:color w:val="auto"/>
          <w:szCs w:val="28"/>
        </w:rPr>
        <w:t xml:space="preserve">азделы 2, 4, 6 и 7 </w:t>
      </w:r>
      <w:r>
        <w:rPr>
          <w:szCs w:val="28"/>
        </w:rPr>
        <w:t>изложить в новой редакции согласно приложению № 1 к настоящему постановлению (прилагается).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Приложение № 1 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изложить в новой редакции согласно приложению № 2 к настоящему постановлению (прилагается).</w:t>
      </w:r>
    </w:p>
    <w:p w:rsidR="000212A5" w:rsidRDefault="000212A5" w:rsidP="000212A5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Дополнить муниципальную программу приложением № 2 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«Методика оценки эффективности реализации муниципальной программы» согласно приложению № 3 к настоящему постановлению (прилагается).</w:t>
      </w:r>
    </w:p>
    <w:p w:rsidR="000212A5" w:rsidRDefault="000212A5" w:rsidP="000212A5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</w:p>
    <w:p w:rsidR="000212A5" w:rsidRDefault="000212A5" w:rsidP="000212A5">
      <w:pPr>
        <w:jc w:val="both"/>
        <w:rPr>
          <w:szCs w:val="28"/>
        </w:rPr>
      </w:pPr>
      <w:r>
        <w:rPr>
          <w:szCs w:val="28"/>
        </w:rPr>
        <w:t>Федотов 21287</w:t>
      </w:r>
    </w:p>
    <w:p w:rsidR="000212A5" w:rsidRDefault="000212A5" w:rsidP="000212A5">
      <w:pPr>
        <w:jc w:val="both"/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21698</w:t>
      </w:r>
    </w:p>
    <w:tbl>
      <w:tblPr>
        <w:tblW w:w="9457" w:type="dxa"/>
        <w:jc w:val="center"/>
        <w:tblLook w:val="01E0"/>
      </w:tblPr>
      <w:tblGrid>
        <w:gridCol w:w="3845"/>
        <w:gridCol w:w="5612"/>
      </w:tblGrid>
      <w:tr w:rsidR="000212A5" w:rsidTr="000212A5">
        <w:trPr>
          <w:jc w:val="center"/>
        </w:trPr>
        <w:tc>
          <w:tcPr>
            <w:tcW w:w="3845" w:type="dxa"/>
          </w:tcPr>
          <w:p w:rsidR="000212A5" w:rsidRDefault="000212A5" w:rsidP="000212A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   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 постановлению администрации городского округа Кинель Самарской области от 30.09.2013 № 2878»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 1275, от 21.10.2014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3287, от 31.03.2015 № 1218, от 30.06.2015 № 2060, от 15.07.2015 № 2184, от 03.08.2015 № 2367, от 11.09.2015 № 2881, от</w:t>
            </w:r>
            <w:proofErr w:type="gramEnd"/>
            <w:r>
              <w:rPr>
                <w:szCs w:val="28"/>
                <w:lang w:eastAsia="en-US"/>
              </w:rPr>
              <w:t> </w:t>
            </w:r>
            <w:proofErr w:type="gramStart"/>
            <w:r>
              <w:rPr>
                <w:szCs w:val="28"/>
                <w:lang w:eastAsia="en-US"/>
              </w:rPr>
              <w:t>30.09.2015 № 3101, от 31.12.2015 № 4132)»</w:t>
            </w:r>
            <w:proofErr w:type="gramEnd"/>
          </w:p>
        </w:tc>
      </w:tr>
    </w:tbl>
    <w:p w:rsidR="000212A5" w:rsidRDefault="000212A5" w:rsidP="000212A5">
      <w:pPr>
        <w:rPr>
          <w:sz w:val="18"/>
          <w:szCs w:val="18"/>
        </w:rPr>
      </w:pPr>
    </w:p>
    <w:p w:rsidR="000212A5" w:rsidRDefault="000212A5" w:rsidP="000212A5">
      <w:pPr>
        <w:rPr>
          <w:sz w:val="18"/>
          <w:szCs w:val="18"/>
        </w:rPr>
      </w:pPr>
    </w:p>
    <w:p w:rsidR="000212A5" w:rsidRDefault="000212A5" w:rsidP="000212A5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0212A5" w:rsidRDefault="000212A5" w:rsidP="000212A5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ГОРОДСКОГО ОКРУГА КИНЕЛЬ САМАРСКОЙ ОБЛАСТИ</w:t>
      </w:r>
    </w:p>
    <w:p w:rsidR="000212A5" w:rsidRDefault="000212A5" w:rsidP="000212A5">
      <w:pPr>
        <w:jc w:val="center"/>
        <w:rPr>
          <w:b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0"/>
        <w:gridCol w:w="7236"/>
      </w:tblGrid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программа городского округа Кинель Самарской области по профилактике преступлений и правонарушений на территории городского округа Кинель на 2014-2018 годы (далее – муниципальная программа)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принятия решения о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разработке </w:t>
            </w:r>
          </w:p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Решение Думы городского округа Кинель от 06.02.2007 года № 298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Разработчик муниципальной программы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городского округа Кинель Самарской области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и задачи муниципальной </w:t>
            </w:r>
            <w:r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общественной безопасности граждан на территории городского округа Кинель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Самарской области: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 повышение уровня обеспечения общественного порядка на улицах, площадях, стадионах, в скверах, парках и в иных общественных местах;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повышение правосознания и уровня правовой культуры граждан;</w:t>
            </w:r>
          </w:p>
          <w:p w:rsidR="000212A5" w:rsidRDefault="000212A5" w:rsidP="000212A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lastRenderedPageBreak/>
              <w:t>Сроки и этапы реализации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Программа реализуется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одноэтапно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 2014 по 2018 год. Начало реализации Программы - 1 января 2014 года, окончание - 31 декабря 2018 года. 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Показатели (индикаторы) муниципальной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преступлений, совершенных в общественных местах;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уличных преступлений;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преступлений, совершенных лицами, находящихся в состоянии алкогольного опьянения;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преступлений и правонарушений, совершенных несовершеннолетними детьми.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 xml:space="preserve">Перечень подпрограмм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Муниципальная программа не содержит подпрограмм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Объемы и источники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финансирования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мероприятий,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определенных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муниципальной </w:t>
            </w:r>
          </w:p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программой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средств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Объем финансирования муниципальной программы составляет 4569,291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рублей: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2014 году - 660 тыс. рублей,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2015 году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rStyle w:val="a7"/>
                <w:rFonts w:ascii="Times New Roman" w:hAnsi="Times New Roman" w:cs="Times New Roman"/>
                <w:b w:val="0"/>
                <w:color w:val="auto"/>
                <w:sz w:val="26"/>
                <w:szCs w:val="26"/>
                <w:lang w:eastAsia="en-US"/>
              </w:rPr>
              <w:t>849,291</w:t>
            </w:r>
            <w:r>
              <w:rPr>
                <w:rStyle w:val="a7"/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рублей,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2016 году - 1020 тыс. рублей,</w:t>
            </w:r>
          </w:p>
          <w:p w:rsidR="000212A5" w:rsidRDefault="000212A5" w:rsidP="000212A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2017 году - 1020 тыс. рублей,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2018 году - 1020 тыс. рублей.</w:t>
            </w:r>
          </w:p>
        </w:tc>
      </w:tr>
      <w:tr w:rsidR="000212A5" w:rsidTr="000212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 xml:space="preserve">Показатели социально-экономической эффективности реализации </w:t>
            </w:r>
            <w:r>
              <w:rPr>
                <w:sz w:val="26"/>
                <w:szCs w:val="26"/>
                <w:lang w:eastAsia="en-US"/>
              </w:rPr>
              <w:t>муниципальной</w:t>
            </w:r>
            <w:r>
              <w:rPr>
                <w:rStyle w:val="a7"/>
                <w:b w:val="0"/>
                <w:color w:val="auto"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оздоровление обстановки на улицах и в других общественных местах;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сокращение количества преступлений и правонарушений, совершенных несовершеннолетними детьми;</w:t>
            </w:r>
          </w:p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отношение степени достижения основных целевых показателей (индикаторов) Программы к уровню ее финансирования.</w:t>
            </w:r>
          </w:p>
        </w:tc>
      </w:tr>
    </w:tbl>
    <w:p w:rsidR="000212A5" w:rsidRDefault="000212A5" w:rsidP="000212A5">
      <w:pPr>
        <w:rPr>
          <w:szCs w:val="28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p w:rsidR="000212A5" w:rsidRDefault="000212A5" w:rsidP="000212A5">
      <w:pPr>
        <w:ind w:firstLine="284"/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827"/>
        <w:gridCol w:w="1134"/>
        <w:gridCol w:w="851"/>
        <w:gridCol w:w="851"/>
        <w:gridCol w:w="851"/>
        <w:gridCol w:w="851"/>
        <w:gridCol w:w="852"/>
      </w:tblGrid>
      <w:tr w:rsidR="000212A5" w:rsidTr="000212A5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цели,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2012 год (базовый)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целевых индикаторов (показателей) в плановом периоде (прогноз)</w:t>
            </w:r>
          </w:p>
        </w:tc>
      </w:tr>
      <w:tr w:rsidR="000212A5" w:rsidTr="000212A5">
        <w:trPr>
          <w:tblHeader/>
        </w:trPr>
        <w:tc>
          <w:tcPr>
            <w:tcW w:w="10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val="en-US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 год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1. Обеспечение общественной безопасности граждан на территории </w:t>
            </w:r>
          </w:p>
          <w:p w:rsidR="000212A5" w:rsidRDefault="000212A5" w:rsidP="000212A5">
            <w:pPr>
              <w:ind w:left="99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 Самарской области: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Наращивание технических средств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ситуацией в общественных местах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зарегистрированных преступлений, совершенных в общественных местах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178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Количества зарегистрированных преступлений на улицах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Повышение правосознания и уровня правовой культуры граждан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статей правовой тематики, опубликованных в СМИ г.о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инель</w:t>
            </w:r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(в единицах)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0212A5" w:rsidTr="000212A5">
        <w:tc>
          <w:tcPr>
            <w:tcW w:w="10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Активизация работы по предупреждению и профилактике совершения преступлений и правонарушений среди молодежи и несовершеннолетних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Охват общеобразовательных учреждений городского округа при проведении родительских собраний, семинаров, лекций для обучающихся по вопросам профилактики преступлений и правонарушений, уголовной и административной ответственности с привлечением органов</w:t>
            </w:r>
            <w:r>
              <w:rPr>
                <w:bCs/>
                <w:sz w:val="26"/>
                <w:szCs w:val="26"/>
                <w:lang w:eastAsia="en-US"/>
              </w:rPr>
              <w:t xml:space="preserve"> системы профилактики безнадзорности и правонарушений несовершеннолетних.</w:t>
            </w:r>
            <w:r>
              <w:rPr>
                <w:bCs/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  <w:p w:rsidR="000212A5" w:rsidRDefault="000212A5" w:rsidP="000212A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 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</w:tbl>
    <w:p w:rsidR="000212A5" w:rsidRDefault="000212A5" w:rsidP="000212A5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0212A5" w:rsidRDefault="000212A5" w:rsidP="000212A5">
      <w:pPr>
        <w:rPr>
          <w:sz w:val="16"/>
          <w:szCs w:val="16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p w:rsidR="000212A5" w:rsidRDefault="000212A5" w:rsidP="000212A5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цели и задачи муниципальной программы, сроки и этапы ее реализации</w:t>
      </w:r>
    </w:p>
    <w:p w:rsidR="000212A5" w:rsidRDefault="000212A5" w:rsidP="000212A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программы - обеспечение общественной безопасности граждан на территории городского округа Кинель.</w:t>
      </w: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обеспечивается за счет решения следующих задач: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обеспечения общественного порядка на улицах, площадях, стадионах, в скверах, парках и в иных общественных местах;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уровня правовой культуры граждан;</w:t>
      </w:r>
    </w:p>
    <w:p w:rsidR="000212A5" w:rsidRDefault="000212A5" w:rsidP="000212A5">
      <w:pPr>
        <w:pStyle w:val="a5"/>
        <w:numPr>
          <w:ilvl w:val="2"/>
          <w:numId w:val="1"/>
        </w:numPr>
        <w:tabs>
          <w:tab w:val="left" w:pos="170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по предупреждению и профилактике совершения преступлений и правонарушений среди молодежи и несовершеннолетних.</w:t>
      </w:r>
    </w:p>
    <w:p w:rsidR="000212A5" w:rsidRDefault="000212A5" w:rsidP="000212A5">
      <w:pPr>
        <w:pStyle w:val="a5"/>
        <w:numPr>
          <w:ilvl w:val="1"/>
          <w:numId w:val="1"/>
        </w:numPr>
        <w:tabs>
          <w:tab w:val="left" w:pos="1276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одноэтапно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2014 по 2018 год. Начало реализации муниципальной программы - 1 января 2014 года, окончание - 31 декабря 2018 года. </w:t>
      </w:r>
    </w:p>
    <w:p w:rsidR="000212A5" w:rsidRDefault="000212A5" w:rsidP="000212A5">
      <w:pPr>
        <w:pStyle w:val="1"/>
        <w:keepNext w:val="0"/>
        <w:spacing w:line="240" w:lineRule="auto"/>
        <w:ind w:left="567" w:firstLine="0"/>
        <w:jc w:val="center"/>
        <w:rPr>
          <w:sz w:val="28"/>
          <w:szCs w:val="28"/>
        </w:rPr>
      </w:pPr>
    </w:p>
    <w:p w:rsidR="000212A5" w:rsidRDefault="000212A5" w:rsidP="000212A5">
      <w:pPr>
        <w:pStyle w:val="1"/>
        <w:keepNext w:val="0"/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Перечень программных мероприятий</w:t>
      </w:r>
    </w:p>
    <w:p w:rsidR="000212A5" w:rsidRDefault="000212A5" w:rsidP="000212A5"/>
    <w:p w:rsidR="000212A5" w:rsidRDefault="000212A5" w:rsidP="000212A5">
      <w:pPr>
        <w:ind w:firstLine="720"/>
        <w:jc w:val="both"/>
        <w:rPr>
          <w:szCs w:val="28"/>
        </w:rPr>
      </w:pPr>
      <w:r>
        <w:rPr>
          <w:szCs w:val="28"/>
        </w:rPr>
        <w:t>4.1. Приложение №</w:t>
      </w:r>
      <w:r>
        <w:rPr>
          <w:szCs w:val="28"/>
          <w:lang w:val="en-US"/>
        </w:rPr>
        <w:t> </w:t>
      </w:r>
      <w:r>
        <w:rPr>
          <w:szCs w:val="28"/>
        </w:rPr>
        <w:t>1 к муниципальной программе содержит перечень программных мероприятий, осуществляемых по следующим направлениям: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4.1.1. повышение уровня обеспечения общественного порядка на улицах, площадях, стадионах, в скверах, парках и в иных общественных местах;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4.1.2. повышение правосознания и уровня правовой культуры граждан;</w:t>
      </w:r>
    </w:p>
    <w:p w:rsidR="000212A5" w:rsidRDefault="000212A5" w:rsidP="000212A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4.1.3. активизация работы по предупреждению и профилактике совершения преступлений и правонарушений среди молодежи и несовершеннолетних.</w:t>
      </w: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</w:t>
      </w:r>
    </w:p>
    <w:p w:rsidR="000212A5" w:rsidRDefault="000212A5" w:rsidP="000212A5">
      <w:pPr>
        <w:jc w:val="both"/>
        <w:rPr>
          <w:b/>
          <w:szCs w:val="28"/>
        </w:rPr>
      </w:pP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 По мере необходимости уточняет состав исполнителей, вид мероприятий и перераспределения финансирования в пределах Программы. Вносит в установленном порядке предложения по финансированию Программы на рассмотрение Думы городского округа Кинель Самарской области.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proofErr w:type="gramStart"/>
      <w:r>
        <w:rPr>
          <w:szCs w:val="28"/>
        </w:rPr>
        <w:lastRenderedPageBreak/>
        <w:t>Контроль за</w:t>
      </w:r>
      <w:proofErr w:type="gramEnd"/>
      <w:r>
        <w:rPr>
          <w:szCs w:val="28"/>
        </w:rPr>
        <w:t xml:space="preserve"> ходом реализации муниципальной программ осуществляется на основании отчетов об исполнении муниципальных программ, в соответствии с порядком принятия решений о разработке, формирования и реализации, оценки эффективности реализации муниципальных программ городского округа Кинель.</w:t>
      </w:r>
    </w:p>
    <w:p w:rsidR="000212A5" w:rsidRDefault="000212A5" w:rsidP="000212A5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>
        <w:rPr>
          <w:szCs w:val="28"/>
        </w:rPr>
        <w:t>Исполнители мероприятий муниципальной программы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муниципальной программы ответственному исполнителю муниципальной программы.</w:t>
      </w:r>
    </w:p>
    <w:p w:rsidR="000212A5" w:rsidRDefault="000212A5" w:rsidP="000212A5">
      <w:pPr>
        <w:jc w:val="both"/>
        <w:rPr>
          <w:b/>
          <w:szCs w:val="28"/>
        </w:rPr>
      </w:pPr>
    </w:p>
    <w:p w:rsidR="000212A5" w:rsidRDefault="000212A5" w:rsidP="000212A5">
      <w:pPr>
        <w:pStyle w:val="1"/>
        <w:keepNext w:val="0"/>
        <w:numPr>
          <w:ilvl w:val="0"/>
          <w:numId w:val="3"/>
        </w:numPr>
        <w:spacing w:line="24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Оценка социально-экономической эффективности реализации муниципальной программы</w:t>
      </w:r>
      <w:r>
        <w:rPr>
          <w:b w:val="0"/>
          <w:sz w:val="28"/>
          <w:szCs w:val="28"/>
        </w:rPr>
        <w:t xml:space="preserve"> </w:t>
      </w:r>
    </w:p>
    <w:p w:rsidR="000212A5" w:rsidRDefault="000212A5" w:rsidP="000212A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Кинель Самарской области: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повышению уровня доверия населения к правоохранительным органам;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снижение количества правонарушений в общественных местах и улицах городского округа Кинель;</w:t>
      </w:r>
    </w:p>
    <w:p w:rsidR="000212A5" w:rsidRDefault="000212A5" w:rsidP="000212A5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повышения уровня правовой грамотности среди несовершеннолетних. </w:t>
      </w:r>
    </w:p>
    <w:p w:rsidR="000212A5" w:rsidRDefault="000212A5" w:rsidP="000212A5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эффективности реализации муниципальной программы осуществляется в соответствии с методикой </w:t>
      </w:r>
      <w:proofErr w:type="gramStart"/>
      <w:r>
        <w:rPr>
          <w:szCs w:val="28"/>
        </w:rPr>
        <w:t>проведения оценки эффективности реализации муниципальной программы городского округа</w:t>
      </w:r>
      <w:proofErr w:type="gramEnd"/>
      <w:r>
        <w:rPr>
          <w:szCs w:val="28"/>
        </w:rPr>
        <w:t xml:space="preserve"> Кинель, согласно приложению № 2 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годы.</w:t>
      </w: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jc w:val="both"/>
        <w:rPr>
          <w:szCs w:val="28"/>
        </w:rPr>
      </w:pPr>
    </w:p>
    <w:p w:rsidR="000212A5" w:rsidRDefault="000212A5" w:rsidP="000212A5">
      <w:pPr>
        <w:spacing w:line="360" w:lineRule="auto"/>
        <w:rPr>
          <w:szCs w:val="28"/>
        </w:rPr>
        <w:sectPr w:rsidR="000212A5">
          <w:pgSz w:w="11906" w:h="16838"/>
          <w:pgMar w:top="1418" w:right="707" w:bottom="851" w:left="1560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9039"/>
        <w:gridCol w:w="6237"/>
      </w:tblGrid>
      <w:tr w:rsidR="000212A5" w:rsidTr="000212A5">
        <w:tc>
          <w:tcPr>
            <w:tcW w:w="9039" w:type="dxa"/>
          </w:tcPr>
          <w:p w:rsidR="000212A5" w:rsidRDefault="000212A5" w:rsidP="000212A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   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0212A5" w:rsidRDefault="000212A5" w:rsidP="000212A5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№ 3101, от 31.12.2015 № 4132)»</w:t>
            </w:r>
            <w:proofErr w:type="gramEnd"/>
          </w:p>
        </w:tc>
      </w:tr>
    </w:tbl>
    <w:p w:rsidR="000212A5" w:rsidRDefault="000212A5" w:rsidP="000212A5">
      <w:pPr>
        <w:ind w:firstLine="720"/>
        <w:jc w:val="both"/>
      </w:pPr>
    </w:p>
    <w:p w:rsidR="000212A5" w:rsidRDefault="000212A5" w:rsidP="000212A5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538"/>
        <w:gridCol w:w="1134"/>
        <w:gridCol w:w="1276"/>
        <w:gridCol w:w="851"/>
        <w:gridCol w:w="1133"/>
        <w:gridCol w:w="992"/>
        <w:gridCol w:w="992"/>
        <w:gridCol w:w="993"/>
        <w:gridCol w:w="2978"/>
      </w:tblGrid>
      <w:tr w:rsidR="000212A5" w:rsidTr="000212A5">
        <w:trPr>
          <w:tblHeader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испол-нения</w:t>
            </w:r>
            <w:proofErr w:type="spellEnd"/>
            <w:proofErr w:type="gramEnd"/>
            <w:r>
              <w:rPr>
                <w:szCs w:val="28"/>
                <w:lang w:eastAsia="en-US"/>
              </w:rPr>
              <w:t>, годы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0212A5" w:rsidTr="000212A5">
        <w:trPr>
          <w:tblHeader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2018</w:t>
            </w: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оргтехники для организации работы комиссии.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администрации городского округа Кинель Самарской области (далее – </w:t>
            </w:r>
            <w:r>
              <w:rPr>
                <w:szCs w:val="28"/>
                <w:lang w:eastAsia="en-US"/>
              </w:rPr>
              <w:lastRenderedPageBreak/>
              <w:t>администрация г.о.Кинель)</w:t>
            </w:r>
          </w:p>
        </w:tc>
      </w:tr>
      <w:tr w:rsidR="000212A5" w:rsidTr="000212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2014, </w:t>
            </w:r>
          </w:p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2016 - 2018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Муниципальное бюджетное учреждение городского округа Кинель Самарской области «Управление жилищно-коммунального хозяйства»</w:t>
            </w:r>
          </w:p>
        </w:tc>
      </w:tr>
      <w:tr w:rsidR="000212A5" w:rsidTr="000212A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0212A5" w:rsidTr="000212A5">
        <w:trPr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5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охраны общественного порядка в п.г.т. Усть-Кинельский </w:t>
            </w:r>
            <w:r>
              <w:rPr>
                <w:szCs w:val="28"/>
                <w:lang w:eastAsia="en-US"/>
              </w:rPr>
              <w:lastRenderedPageBreak/>
              <w:t>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0212A5" w:rsidTr="000212A5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val="en-US"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1587,9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rPr>
          <w:trHeight w:val="4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2015-2018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1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3944,9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734,9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Раздел 2. Повышение правосознания и уровня правовой культуры граждан. 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Освещение правовых тем в средства массовой информации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Кинель, подготовленных субъектами системы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Разработка и изготовление информационного материала по профилактике преступлений и </w:t>
            </w:r>
            <w:r>
              <w:rPr>
                <w:szCs w:val="28"/>
                <w:lang w:eastAsia="en-US"/>
              </w:rPr>
              <w:lastRenderedPageBreak/>
              <w:t xml:space="preserve">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Кинель,</w:t>
            </w:r>
          </w:p>
          <w:p w:rsidR="000212A5" w:rsidRDefault="000212A5" w:rsidP="000212A5">
            <w:pPr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Муниципальное </w:t>
            </w:r>
            <w:r>
              <w:rPr>
                <w:szCs w:val="28"/>
                <w:lang w:eastAsia="en-US"/>
              </w:rPr>
              <w:lastRenderedPageBreak/>
              <w:t>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  <w:proofErr w:type="gramEnd"/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Раздел 3. Активизация работы по предупреждению и профилактике совершения преступлений и правонарушений среди молодежи и несовершеннолетних. 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</w:t>
            </w:r>
            <w:r>
              <w:rPr>
                <w:szCs w:val="28"/>
                <w:lang w:eastAsia="en-US"/>
              </w:rPr>
              <w:lastRenderedPageBreak/>
              <w:t xml:space="preserve">состоящих на профилактических учетах в </w:t>
            </w:r>
            <w:r>
              <w:rPr>
                <w:bCs/>
                <w:szCs w:val="28"/>
                <w:lang w:eastAsia="en-US"/>
              </w:rPr>
              <w:t>органах и учреждениях системы профилактики безнадзорности и правонарушений несовершеннолетних</w:t>
            </w:r>
            <w:r>
              <w:rPr>
                <w:szCs w:val="28"/>
                <w:lang w:eastAsia="en-US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199,935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39,935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Комиссия по делам несовершеннолетних и защите их прав администрации городского </w:t>
            </w:r>
            <w:r>
              <w:rPr>
                <w:szCs w:val="28"/>
                <w:lang w:eastAsia="en-US"/>
              </w:rPr>
              <w:lastRenderedPageBreak/>
              <w:t>округа Кинель Самарской области (далее – КДН и ЗП)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Кинель,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(МКУ «Управление семьи»)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194,456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rStyle w:val="a7"/>
                <w:b w:val="0"/>
                <w:color w:val="auto"/>
                <w:szCs w:val="28"/>
                <w:lang w:eastAsia="en-US"/>
              </w:rPr>
              <w:t>34,456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.о. Кинель,</w:t>
            </w:r>
          </w:p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(МКУ «Управление семьи»)</w:t>
            </w: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594,391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114,391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  <w:tr w:rsidR="000212A5" w:rsidTr="000212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4569,291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Style w:val="a7"/>
                <w:color w:val="auto"/>
                <w:szCs w:val="28"/>
                <w:lang w:eastAsia="en-US"/>
              </w:rPr>
              <w:t>849,291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A5" w:rsidRDefault="000212A5" w:rsidP="000212A5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A5" w:rsidRDefault="000212A5" w:rsidP="000212A5">
            <w:pPr>
              <w:rPr>
                <w:b/>
                <w:szCs w:val="28"/>
                <w:lang w:eastAsia="en-US"/>
              </w:rPr>
            </w:pPr>
          </w:p>
        </w:tc>
      </w:tr>
    </w:tbl>
    <w:p w:rsidR="000212A5" w:rsidRDefault="000212A5" w:rsidP="000212A5">
      <w:pPr>
        <w:spacing w:line="360" w:lineRule="auto"/>
        <w:rPr>
          <w:szCs w:val="28"/>
        </w:rPr>
        <w:sectPr w:rsidR="000212A5">
          <w:pgSz w:w="16838" w:h="11906" w:orient="landscape"/>
          <w:pgMar w:top="1560" w:right="1418" w:bottom="707" w:left="851" w:header="708" w:footer="708" w:gutter="0"/>
          <w:cols w:space="720"/>
        </w:sectPr>
      </w:pPr>
    </w:p>
    <w:tbl>
      <w:tblPr>
        <w:tblW w:w="9748" w:type="dxa"/>
        <w:tblLook w:val="01E0"/>
      </w:tblPr>
      <w:tblGrid>
        <w:gridCol w:w="4361"/>
        <w:gridCol w:w="5387"/>
      </w:tblGrid>
      <w:tr w:rsidR="000212A5" w:rsidTr="000212A5">
        <w:tc>
          <w:tcPr>
            <w:tcW w:w="4361" w:type="dxa"/>
          </w:tcPr>
          <w:p w:rsidR="000212A5" w:rsidRDefault="000212A5" w:rsidP="000212A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 3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администрации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 Самарской области</w:t>
            </w:r>
          </w:p>
          <w:p w:rsidR="000212A5" w:rsidRDefault="000212A5" w:rsidP="000212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 </w:t>
            </w:r>
            <w:r>
              <w:rPr>
                <w:szCs w:val="28"/>
                <w:lang w:eastAsia="en-US"/>
              </w:rPr>
              <w:t>№______</w:t>
            </w: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</w:p>
          <w:p w:rsidR="000212A5" w:rsidRDefault="000212A5" w:rsidP="000212A5">
            <w:pPr>
              <w:spacing w:after="12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2</w:t>
            </w:r>
          </w:p>
          <w:p w:rsidR="000212A5" w:rsidRDefault="000212A5" w:rsidP="000212A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№ 3101, от 31.12.2015 № 4132)»</w:t>
            </w:r>
            <w:proofErr w:type="gramEnd"/>
          </w:p>
        </w:tc>
      </w:tr>
    </w:tbl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ПРОВЕДЕНИЯ ОЦЕНКИ ЭФФЕКТИВНОСТИ РЕАЛИЗАЦИИ</w:t>
      </w:r>
    </w:p>
    <w:p w:rsidR="000212A5" w:rsidRDefault="000212A5" w:rsidP="000212A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ПРОГРАММ ГОРОДСКОГО ОКРУГА КИНЕЛЬ</w:t>
      </w:r>
    </w:p>
    <w:p w:rsidR="000212A5" w:rsidRDefault="000212A5" w:rsidP="000212A5">
      <w:pPr>
        <w:autoSpaceDE w:val="0"/>
        <w:autoSpaceDN w:val="0"/>
        <w:adjustRightInd w:val="0"/>
        <w:jc w:val="both"/>
      </w:pP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результатам.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оценивается степенью достижения плановых значений показателей (индикаторов) программы.</w:t>
      </w:r>
    </w:p>
    <w:p w:rsidR="000212A5" w:rsidRDefault="000212A5" w:rsidP="000212A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муниципальной программы должны быть представлены по форме, согласно таблице №1.</w:t>
      </w:r>
    </w:p>
    <w:p w:rsidR="000212A5" w:rsidRDefault="000212A5" w:rsidP="000212A5">
      <w:pPr>
        <w:autoSpaceDE w:val="0"/>
        <w:autoSpaceDN w:val="0"/>
        <w:adjustRightInd w:val="0"/>
        <w:jc w:val="right"/>
        <w:outlineLvl w:val="1"/>
      </w:pPr>
      <w:r>
        <w:t>Таблица №1</w:t>
      </w: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1921"/>
        <w:gridCol w:w="1450"/>
        <w:gridCol w:w="1831"/>
        <w:gridCol w:w="1801"/>
        <w:gridCol w:w="1921"/>
      </w:tblGrid>
      <w:tr w:rsidR="000212A5" w:rsidTr="000212A5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N 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целевых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индикаторов, %</w:t>
            </w:r>
          </w:p>
        </w:tc>
      </w:tr>
      <w:tr w:rsidR="000212A5" w:rsidTr="000212A5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достигнутые</w:t>
            </w:r>
          </w:p>
          <w:p w:rsidR="000212A5" w:rsidRDefault="000212A5" w:rsidP="000212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2A5" w:rsidRDefault="000212A5" w:rsidP="000212A5">
            <w:pPr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1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2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212A5" w:rsidTr="000212A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2A5" w:rsidRDefault="000212A5" w:rsidP="000212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212A5" w:rsidRDefault="000212A5" w:rsidP="000212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0212A5" w:rsidRDefault="000212A5" w:rsidP="000212A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Порядок расчета целевых показателей (индикаторов)</w:t>
      </w: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Формула 1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539"/>
        <w:jc w:val="right"/>
        <w:rPr>
          <w:szCs w:val="28"/>
        </w:rPr>
      </w:pPr>
      <w:r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Тг</w:t>
      </w:r>
      <w:proofErr w:type="spellEnd"/>
      <w:r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Пг</w:t>
      </w:r>
      <w:proofErr w:type="spellEnd"/>
      <w:r>
        <w:rPr>
          <w:b/>
          <w:szCs w:val="28"/>
        </w:rPr>
        <w:t xml:space="preserve"> * 100%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szCs w:val="28"/>
        </w:rPr>
        <w:t>(значение в процентах),</w:t>
      </w: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212A5" w:rsidRDefault="000212A5" w:rsidP="000212A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Формула 2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Пг</w:t>
      </w:r>
      <w:proofErr w:type="spellEnd"/>
      <w:r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Тг</w:t>
      </w:r>
      <w:proofErr w:type="spellEnd"/>
      <w:r>
        <w:rPr>
          <w:b/>
          <w:szCs w:val="28"/>
        </w:rPr>
        <w:t xml:space="preserve"> * 100%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szCs w:val="28"/>
        </w:rPr>
        <w:t>(значение в процентах),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где: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proofErr w:type="spellStart"/>
      <w:r>
        <w:rPr>
          <w:b/>
          <w:szCs w:val="28"/>
        </w:rPr>
        <w:t>Тг</w:t>
      </w:r>
      <w:proofErr w:type="spellEnd"/>
      <w:r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0212A5" w:rsidRDefault="000212A5" w:rsidP="000212A5">
      <w:pPr>
        <w:widowControl w:val="0"/>
        <w:autoSpaceDE w:val="0"/>
        <w:autoSpaceDN w:val="0"/>
        <w:adjustRightInd w:val="0"/>
        <w:ind w:firstLine="993"/>
        <w:jc w:val="both"/>
        <w:rPr>
          <w:szCs w:val="28"/>
        </w:rPr>
      </w:pPr>
      <w:proofErr w:type="spellStart"/>
      <w:r>
        <w:rPr>
          <w:b/>
          <w:szCs w:val="28"/>
        </w:rPr>
        <w:t>Пг</w:t>
      </w:r>
      <w:proofErr w:type="spellEnd"/>
      <w:r>
        <w:rPr>
          <w:szCs w:val="28"/>
        </w:rPr>
        <w:t xml:space="preserve"> - количественное значение показателя за аналогичный период прошлого года.</w:t>
      </w:r>
    </w:p>
    <w:p w:rsidR="005A36B7" w:rsidRDefault="000212A5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28C"/>
    <w:multiLevelType w:val="multilevel"/>
    <w:tmpl w:val="C3CE600A"/>
    <w:lvl w:ilvl="0">
      <w:start w:val="6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b w:val="0"/>
        <w:sz w:val="28"/>
      </w:rPr>
    </w:lvl>
  </w:abstractNum>
  <w:abstractNum w:abstractNumId="1">
    <w:nsid w:val="0E0638A8"/>
    <w:multiLevelType w:val="multilevel"/>
    <w:tmpl w:val="9D2644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747AC"/>
    <w:multiLevelType w:val="multilevel"/>
    <w:tmpl w:val="DCA8A9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A5"/>
    <w:rsid w:val="0000045C"/>
    <w:rsid w:val="0000197E"/>
    <w:rsid w:val="00011BCC"/>
    <w:rsid w:val="000122AD"/>
    <w:rsid w:val="0001287A"/>
    <w:rsid w:val="00017E58"/>
    <w:rsid w:val="00017E9A"/>
    <w:rsid w:val="0002030A"/>
    <w:rsid w:val="000212A5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289F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A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12A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2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212A5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0212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212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Основной текст_"/>
    <w:basedOn w:val="a0"/>
    <w:link w:val="3"/>
    <w:locked/>
    <w:rsid w:val="000212A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0212A5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7">
    <w:name w:val="Цветовое выделение"/>
    <w:rsid w:val="000212A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2647</Words>
  <Characters>15091</Characters>
  <Application>Microsoft Office Word</Application>
  <DocSecurity>0</DocSecurity>
  <Lines>125</Lines>
  <Paragraphs>35</Paragraphs>
  <ScaleCrop>false</ScaleCrop>
  <Company>Microsoft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2016-05-19T05:05:00Z</dcterms:created>
  <dcterms:modified xsi:type="dcterms:W3CDTF">2016-05-19T05:07:00Z</dcterms:modified>
</cp:coreProperties>
</file>