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3" w:type="dxa"/>
        <w:tblInd w:w="108" w:type="dxa"/>
        <w:tblLayout w:type="fixed"/>
        <w:tblLook w:val="0000"/>
      </w:tblPr>
      <w:tblGrid>
        <w:gridCol w:w="4253"/>
        <w:gridCol w:w="1134"/>
        <w:gridCol w:w="3906"/>
      </w:tblGrid>
      <w:tr w:rsidR="009B6938" w:rsidRPr="000C499A" w:rsidTr="00EE726E">
        <w:tc>
          <w:tcPr>
            <w:tcW w:w="4253" w:type="dxa"/>
          </w:tcPr>
          <w:p w:rsidR="009B6938" w:rsidRPr="000C499A" w:rsidRDefault="009B6938" w:rsidP="00EE726E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9B6938" w:rsidRPr="000C499A" w:rsidRDefault="009B6938" w:rsidP="00EE726E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9B6938" w:rsidRPr="000C499A" w:rsidRDefault="009B6938" w:rsidP="00EE726E">
            <w:pPr>
              <w:ind w:left="34"/>
              <w:jc w:val="center"/>
            </w:pPr>
          </w:p>
          <w:p w:rsidR="009B6938" w:rsidRPr="000C499A" w:rsidRDefault="009B6938" w:rsidP="00EE726E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9B6938" w:rsidRPr="000C499A" w:rsidRDefault="009B6938" w:rsidP="00EE726E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9B6938" w:rsidRPr="000C499A" w:rsidRDefault="009B6938" w:rsidP="00EE726E">
            <w:pPr>
              <w:ind w:left="34"/>
              <w:jc w:val="center"/>
              <w:rPr>
                <w:sz w:val="18"/>
              </w:rPr>
            </w:pPr>
          </w:p>
          <w:p w:rsidR="009B6938" w:rsidRPr="000C499A" w:rsidRDefault="009B6938" w:rsidP="00EE726E">
            <w:pPr>
              <w:ind w:left="34"/>
              <w:jc w:val="center"/>
              <w:rPr>
                <w:sz w:val="18"/>
              </w:rPr>
            </w:pPr>
          </w:p>
          <w:p w:rsidR="009B6938" w:rsidRPr="000C499A" w:rsidRDefault="009B6938" w:rsidP="00EE726E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9B6938" w:rsidRPr="000C499A" w:rsidRDefault="009B6938" w:rsidP="00EE726E">
            <w:pPr>
              <w:ind w:left="34"/>
              <w:jc w:val="center"/>
            </w:pPr>
          </w:p>
          <w:p w:rsidR="009B6938" w:rsidRPr="004E346A" w:rsidRDefault="009B6938" w:rsidP="00EE726E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от</w:t>
            </w:r>
            <w:r w:rsidRPr="004E346A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   </w:t>
            </w:r>
            <w:r w:rsidRPr="004E346A">
              <w:rPr>
                <w:szCs w:val="28"/>
                <w:u w:val="single"/>
              </w:rPr>
              <w:t xml:space="preserve">  </w:t>
            </w:r>
            <w:r w:rsidRPr="004E346A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________</w:t>
            </w:r>
          </w:p>
          <w:p w:rsidR="009B6938" w:rsidRPr="003C250E" w:rsidRDefault="009B6938" w:rsidP="00EE726E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9B6938" w:rsidRPr="0020239A" w:rsidRDefault="00D17F10" w:rsidP="00EE726E">
            <w:pPr>
              <w:jc w:val="right"/>
            </w:pPr>
            <w:r>
              <w:t>Проект</w:t>
            </w:r>
          </w:p>
        </w:tc>
      </w:tr>
      <w:tr w:rsidR="009B6938" w:rsidRPr="000C499A" w:rsidTr="00EE7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06" w:type="dxa"/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938" w:rsidRPr="000C499A" w:rsidRDefault="009B6938" w:rsidP="00EE726E">
            <w:pPr>
              <w:jc w:val="both"/>
              <w:rPr>
                <w:szCs w:val="28"/>
              </w:rPr>
            </w:pPr>
            <w:proofErr w:type="gramStart"/>
            <w:r w:rsidRPr="000C499A">
              <w:rPr>
                <w:szCs w:val="28"/>
              </w:rPr>
              <w:t xml:space="preserve"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0C499A">
              <w:rPr>
                <w:szCs w:val="28"/>
              </w:rPr>
              <w:t>от 30.09.2013 № 2879 (</w:t>
            </w:r>
            <w:r>
              <w:rPr>
                <w:szCs w:val="28"/>
              </w:rPr>
              <w:t>с изменениями</w:t>
            </w:r>
            <w:r w:rsidRPr="000C499A">
              <w:rPr>
                <w:szCs w:val="28"/>
              </w:rPr>
              <w:t xml:space="preserve"> от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31.01.2014, от 07.07.2014, от 29.07.2014, от 02.09.2014, от 22.09.2014, от 24.10.2014, от 08.12.2014, от 09.02.2015</w:t>
            </w:r>
            <w:r>
              <w:rPr>
                <w:szCs w:val="28"/>
              </w:rPr>
              <w:t>, от 06.04.2015</w:t>
            </w:r>
            <w:r w:rsidRPr="00C00B16">
              <w:rPr>
                <w:szCs w:val="28"/>
              </w:rPr>
              <w:t>, от 02.06.2015, от 15.07.2015</w:t>
            </w:r>
            <w:r>
              <w:rPr>
                <w:szCs w:val="28"/>
              </w:rPr>
              <w:t>, от 04.09.2015, от 29.10.2015, от 31.12.2015</w:t>
            </w:r>
            <w:proofErr w:type="gramEnd"/>
            <w:r>
              <w:rPr>
                <w:szCs w:val="28"/>
              </w:rPr>
              <w:t>, от 14.03.2017, от 18.05.2017)</w:t>
            </w:r>
          </w:p>
        </w:tc>
      </w:tr>
    </w:tbl>
    <w:p w:rsidR="009B6938" w:rsidRPr="000C499A" w:rsidRDefault="009B6938" w:rsidP="009B6938">
      <w:pPr>
        <w:pStyle w:val="3"/>
        <w:shd w:val="clear" w:color="auto" w:fill="auto"/>
        <w:spacing w:before="0" w:after="0" w:line="240" w:lineRule="auto"/>
        <w:ind w:right="20" w:firstLine="680"/>
        <w:rPr>
          <w:spacing w:val="0"/>
          <w:sz w:val="28"/>
          <w:szCs w:val="28"/>
        </w:rPr>
      </w:pPr>
    </w:p>
    <w:p w:rsidR="009B6938" w:rsidRPr="00DA2494" w:rsidRDefault="009B6938" w:rsidP="009B693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Думы городского округа Кинель Самарской области от 26.12.2017г. № </w:t>
      </w:r>
      <w:r w:rsidRPr="000908B7">
        <w:rPr>
          <w:sz w:val="28"/>
          <w:szCs w:val="28"/>
        </w:rPr>
        <w:t xml:space="preserve">324 </w:t>
      </w:r>
      <w:r>
        <w:rPr>
          <w:sz w:val="28"/>
          <w:szCs w:val="28"/>
        </w:rPr>
        <w:t>«О бюджете городского округа Кинель Самарской области на 2017 год и на плановый период 2018 и 2018 годов», постановлением администрации городского округа Кинель Самарской области от 07.03.2014 № 710 «Об 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proofErr w:type="gramEnd"/>
      <w:r>
        <w:rPr>
          <w:sz w:val="28"/>
          <w:szCs w:val="28"/>
        </w:rPr>
        <w:t xml:space="preserve"> Самарской области»</w:t>
      </w:r>
    </w:p>
    <w:p w:rsidR="009B6938" w:rsidRPr="000C499A" w:rsidRDefault="009B6938" w:rsidP="009B6938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</w:t>
      </w:r>
      <w:r w:rsidRPr="000C499A">
        <w:rPr>
          <w:szCs w:val="28"/>
        </w:rPr>
        <w:t>Ю:</w:t>
      </w:r>
    </w:p>
    <w:p w:rsidR="009B6938" w:rsidRDefault="009B6938" w:rsidP="009B693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0C499A">
        <w:rPr>
          <w:szCs w:val="28"/>
        </w:rPr>
        <w:t xml:space="preserve"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Pr="000C499A">
        <w:rPr>
          <w:szCs w:val="28"/>
        </w:rPr>
        <w:t>от 30.09.2013 № 2879 (</w:t>
      </w:r>
      <w:r>
        <w:rPr>
          <w:szCs w:val="28"/>
        </w:rPr>
        <w:t>с изменениями</w:t>
      </w:r>
      <w:r w:rsidRPr="000C499A">
        <w:rPr>
          <w:szCs w:val="28"/>
        </w:rPr>
        <w:t xml:space="preserve"> </w:t>
      </w:r>
      <w:r w:rsidRPr="000C499A">
        <w:rPr>
          <w:szCs w:val="28"/>
        </w:rPr>
        <w:lastRenderedPageBreak/>
        <w:t>от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>31.01.2014, от 07.07.2014, от 29.07.2014, от 02.09.2014, от 22.09.2014, от 24.10.2014, от 08.12.2014, от 09.02.2015</w:t>
      </w:r>
      <w:r>
        <w:rPr>
          <w:szCs w:val="28"/>
        </w:rPr>
        <w:t>, от 06.04.2015</w:t>
      </w:r>
      <w:r w:rsidRPr="00C00B16">
        <w:rPr>
          <w:szCs w:val="28"/>
        </w:rPr>
        <w:t>, от 02.06.2015, от 15.07.2015</w:t>
      </w:r>
      <w:r>
        <w:rPr>
          <w:szCs w:val="28"/>
        </w:rPr>
        <w:t>, от 04.09.2015, от 29.10.2015, от 31.12.2015, от 14.03.2017</w:t>
      </w:r>
      <w:proofErr w:type="gramEnd"/>
      <w:r>
        <w:rPr>
          <w:szCs w:val="28"/>
        </w:rPr>
        <w:t>, от 18.05.2017</w:t>
      </w:r>
      <w:r w:rsidRPr="000C499A">
        <w:rPr>
          <w:szCs w:val="28"/>
        </w:rPr>
        <w:t>), следующие изменения:</w:t>
      </w:r>
    </w:p>
    <w:p w:rsidR="009B6938" w:rsidRPr="0029028D" w:rsidRDefault="009B6938" w:rsidP="009B6938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6E563A">
        <w:rPr>
          <w:szCs w:val="28"/>
        </w:rPr>
        <w:t xml:space="preserve">В паспорте муниципальной программы </w:t>
      </w:r>
      <w:r w:rsidRPr="006E563A">
        <w:rPr>
          <w:rStyle w:val="a4"/>
          <w:b w:val="0"/>
          <w:bCs/>
          <w:color w:val="auto"/>
          <w:szCs w:val="28"/>
        </w:rPr>
        <w:t>сумму «</w:t>
      </w:r>
      <w:r w:rsidRPr="0029028D">
        <w:rPr>
          <w:szCs w:val="28"/>
        </w:rPr>
        <w:t>389975</w:t>
      </w:r>
      <w:r>
        <w:rPr>
          <w:szCs w:val="28"/>
        </w:rPr>
        <w:t>,398</w:t>
      </w:r>
      <w:r w:rsidRPr="006E563A">
        <w:rPr>
          <w:szCs w:val="28"/>
        </w:rPr>
        <w:t>» заменить суммой «</w:t>
      </w:r>
      <w:r>
        <w:rPr>
          <w:szCs w:val="28"/>
        </w:rPr>
        <w:t>380390,793</w:t>
      </w:r>
      <w:r w:rsidRPr="006E563A">
        <w:rPr>
          <w:szCs w:val="28"/>
        </w:rPr>
        <w:t>», сумму «</w:t>
      </w:r>
      <w:r>
        <w:rPr>
          <w:szCs w:val="28"/>
        </w:rPr>
        <w:t>125548,142</w:t>
      </w:r>
      <w:r w:rsidRPr="006E563A">
        <w:rPr>
          <w:rStyle w:val="a4"/>
          <w:b w:val="0"/>
          <w:color w:val="auto"/>
          <w:szCs w:val="28"/>
        </w:rPr>
        <w:t xml:space="preserve">» </w:t>
      </w:r>
      <w:r>
        <w:rPr>
          <w:rStyle w:val="a4"/>
          <w:b w:val="0"/>
          <w:color w:val="auto"/>
          <w:szCs w:val="28"/>
        </w:rPr>
        <w:t xml:space="preserve">заменить </w:t>
      </w:r>
      <w:r w:rsidRPr="006E563A">
        <w:rPr>
          <w:rStyle w:val="a4"/>
          <w:b w:val="0"/>
          <w:color w:val="auto"/>
          <w:szCs w:val="28"/>
        </w:rPr>
        <w:t xml:space="preserve">суммой </w:t>
      </w:r>
      <w:r w:rsidRPr="006E563A">
        <w:rPr>
          <w:szCs w:val="28"/>
        </w:rPr>
        <w:t>«</w:t>
      </w:r>
      <w:r>
        <w:rPr>
          <w:szCs w:val="28"/>
        </w:rPr>
        <w:t>115963,537</w:t>
      </w:r>
      <w:r w:rsidRPr="006E563A">
        <w:rPr>
          <w:szCs w:val="28"/>
        </w:rPr>
        <w:t>».</w:t>
      </w:r>
    </w:p>
    <w:p w:rsidR="009B6938" w:rsidRPr="006E563A" w:rsidRDefault="009B6938" w:rsidP="009B6938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9B6938" w:rsidRPr="006E563A" w:rsidRDefault="009B6938" w:rsidP="009B6938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bCs/>
          <w:szCs w:val="28"/>
        </w:rPr>
      </w:pPr>
      <w:r w:rsidRPr="0015090F">
        <w:rPr>
          <w:rStyle w:val="a4"/>
          <w:b w:val="0"/>
          <w:bCs/>
          <w:color w:val="auto"/>
          <w:szCs w:val="28"/>
        </w:rPr>
        <w:t>В пункте 5.1. сумму «</w:t>
      </w:r>
      <w:r w:rsidRPr="0015090F">
        <w:rPr>
          <w:rStyle w:val="a4"/>
          <w:b w:val="0"/>
          <w:bCs/>
          <w:color w:val="auto"/>
        </w:rPr>
        <w:t>209559,284» заменить суммой «</w:t>
      </w:r>
      <w:r>
        <w:rPr>
          <w:rStyle w:val="a4"/>
          <w:b w:val="0"/>
          <w:bCs/>
          <w:color w:val="auto"/>
        </w:rPr>
        <w:t>209974,679</w:t>
      </w:r>
      <w:r w:rsidRPr="0015090F">
        <w:rPr>
          <w:rStyle w:val="a4"/>
          <w:b w:val="0"/>
          <w:bCs/>
          <w:color w:val="auto"/>
        </w:rPr>
        <w:t>», сумму «</w:t>
      </w:r>
      <w:r w:rsidRPr="0015090F">
        <w:rPr>
          <w:rStyle w:val="a4"/>
          <w:b w:val="0"/>
          <w:bCs/>
          <w:color w:val="auto"/>
          <w:szCs w:val="28"/>
        </w:rPr>
        <w:t xml:space="preserve">45548,142» заменить суммой </w:t>
      </w:r>
      <w:r w:rsidRPr="0015090F">
        <w:rPr>
          <w:rStyle w:val="a4"/>
          <w:b w:val="0"/>
          <w:bCs/>
          <w:color w:val="auto"/>
        </w:rPr>
        <w:t>«</w:t>
      </w:r>
      <w:r>
        <w:rPr>
          <w:rStyle w:val="a4"/>
          <w:b w:val="0"/>
          <w:bCs/>
          <w:color w:val="auto"/>
          <w:szCs w:val="28"/>
        </w:rPr>
        <w:t>45963,537</w:t>
      </w:r>
      <w:r w:rsidRPr="0015090F">
        <w:rPr>
          <w:rStyle w:val="a4"/>
          <w:b w:val="0"/>
          <w:bCs/>
          <w:color w:val="auto"/>
        </w:rPr>
        <w:t>».</w:t>
      </w:r>
    </w:p>
    <w:p w:rsidR="009B6938" w:rsidRPr="0015090F" w:rsidRDefault="009B6938" w:rsidP="009B6938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6E563A">
        <w:rPr>
          <w:rStyle w:val="a4"/>
          <w:b w:val="0"/>
          <w:bCs/>
          <w:color w:val="auto"/>
          <w:szCs w:val="28"/>
        </w:rPr>
        <w:t xml:space="preserve">В </w:t>
      </w:r>
      <w:r>
        <w:rPr>
          <w:rStyle w:val="a4"/>
          <w:b w:val="0"/>
          <w:bCs/>
          <w:color w:val="auto"/>
          <w:szCs w:val="28"/>
        </w:rPr>
        <w:t>пункте</w:t>
      </w:r>
      <w:r w:rsidRPr="006E563A">
        <w:rPr>
          <w:rStyle w:val="a4"/>
          <w:b w:val="0"/>
          <w:bCs/>
          <w:color w:val="auto"/>
          <w:szCs w:val="28"/>
        </w:rPr>
        <w:t xml:space="preserve"> 5.2.</w:t>
      </w:r>
      <w:r>
        <w:rPr>
          <w:rStyle w:val="a4"/>
          <w:b w:val="0"/>
          <w:bCs/>
          <w:color w:val="auto"/>
          <w:szCs w:val="28"/>
        </w:rPr>
        <w:t xml:space="preserve"> </w:t>
      </w:r>
      <w:r w:rsidRPr="006E563A">
        <w:rPr>
          <w:szCs w:val="28"/>
        </w:rPr>
        <w:t>сумму «</w:t>
      </w:r>
      <w:r w:rsidRPr="00996A2E">
        <w:rPr>
          <w:szCs w:val="28"/>
        </w:rPr>
        <w:t>1</w:t>
      </w:r>
      <w:r>
        <w:rPr>
          <w:szCs w:val="28"/>
        </w:rPr>
        <w:t>8</w:t>
      </w:r>
      <w:r w:rsidRPr="00996A2E">
        <w:rPr>
          <w:szCs w:val="28"/>
        </w:rPr>
        <w:t>0416,114</w:t>
      </w:r>
      <w:r w:rsidRPr="006E563A">
        <w:rPr>
          <w:szCs w:val="28"/>
        </w:rPr>
        <w:t>» заменить суммой «</w:t>
      </w:r>
      <w:r>
        <w:rPr>
          <w:szCs w:val="28"/>
        </w:rPr>
        <w:t>170416,114</w:t>
      </w:r>
      <w:r w:rsidRPr="006E563A">
        <w:rPr>
          <w:szCs w:val="28"/>
        </w:rPr>
        <w:t>»</w:t>
      </w:r>
      <w:r>
        <w:rPr>
          <w:szCs w:val="28"/>
        </w:rPr>
        <w:t xml:space="preserve">, </w:t>
      </w:r>
      <w:r w:rsidRPr="006E563A">
        <w:rPr>
          <w:szCs w:val="28"/>
        </w:rPr>
        <w:t>сумму «0» заменить суммой «</w:t>
      </w:r>
      <w:r>
        <w:rPr>
          <w:szCs w:val="28"/>
        </w:rPr>
        <w:t>70</w:t>
      </w:r>
      <w:r w:rsidRPr="00996A2E">
        <w:rPr>
          <w:szCs w:val="28"/>
        </w:rPr>
        <w:t>000,0</w:t>
      </w:r>
      <w:r w:rsidRPr="006E563A">
        <w:rPr>
          <w:szCs w:val="28"/>
        </w:rPr>
        <w:t>».</w:t>
      </w:r>
    </w:p>
    <w:p w:rsidR="009B6938" w:rsidRPr="005A7AF1" w:rsidRDefault="009B6938" w:rsidP="009B6938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</w:t>
      </w:r>
      <w:r w:rsidRPr="005A7AF1">
        <w:rPr>
          <w:szCs w:val="28"/>
        </w:rPr>
        <w:t>аблиц</w:t>
      </w:r>
      <w:r>
        <w:rPr>
          <w:szCs w:val="28"/>
        </w:rPr>
        <w:t>у</w:t>
      </w:r>
      <w:r w:rsidRPr="005A7AF1">
        <w:rPr>
          <w:szCs w:val="28"/>
        </w:rPr>
        <w:t xml:space="preserve"> 3 </w:t>
      </w:r>
      <w:r>
        <w:rPr>
          <w:szCs w:val="28"/>
        </w:rPr>
        <w:t>пункта</w:t>
      </w:r>
      <w:r w:rsidRPr="005A7AF1">
        <w:rPr>
          <w:szCs w:val="28"/>
        </w:rPr>
        <w:t xml:space="preserve"> 5.3.</w:t>
      </w:r>
      <w:r>
        <w:rPr>
          <w:szCs w:val="28"/>
        </w:rPr>
        <w:t xml:space="preserve"> изложить в новой редакции согласно Приложению № 1.</w:t>
      </w:r>
    </w:p>
    <w:p w:rsidR="009B6938" w:rsidRPr="00131D62" w:rsidRDefault="009B6938" w:rsidP="009B6938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131D62">
        <w:rPr>
          <w:szCs w:val="28"/>
        </w:rPr>
        <w:t xml:space="preserve">Приложение № 1 к муниципальной программе изложить в новой </w:t>
      </w:r>
      <w:r>
        <w:rPr>
          <w:szCs w:val="28"/>
        </w:rPr>
        <w:t>редакции согласно Приложению № 2</w:t>
      </w:r>
      <w:r w:rsidRPr="00131D62">
        <w:rPr>
          <w:szCs w:val="28"/>
        </w:rPr>
        <w:t>.</w:t>
      </w:r>
    </w:p>
    <w:p w:rsidR="009B6938" w:rsidRPr="00C9151E" w:rsidRDefault="009B6938" w:rsidP="009B693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Официально опубликовать настоящее постановление </w:t>
      </w:r>
      <w:r>
        <w:rPr>
          <w:szCs w:val="28"/>
        </w:rPr>
        <w:t>путем размещения 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</w:t>
      </w:r>
      <w:r w:rsidRPr="00C9151E">
        <w:rPr>
          <w:szCs w:val="28"/>
        </w:rPr>
        <w:t>.</w:t>
      </w:r>
    </w:p>
    <w:p w:rsidR="009B6938" w:rsidRPr="00C9151E" w:rsidRDefault="009B6938" w:rsidP="009B693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C9151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B6938" w:rsidRPr="00C9151E" w:rsidRDefault="009B6938" w:rsidP="009B693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C9151E">
        <w:rPr>
          <w:szCs w:val="28"/>
        </w:rPr>
        <w:t>Контроль за</w:t>
      </w:r>
      <w:proofErr w:type="gramEnd"/>
      <w:r w:rsidRPr="00C9151E">
        <w:rPr>
          <w:szCs w:val="28"/>
        </w:rPr>
        <w:t xml:space="preserve"> исполнение</w:t>
      </w:r>
      <w:r>
        <w:rPr>
          <w:szCs w:val="28"/>
        </w:rPr>
        <w:t>м</w:t>
      </w:r>
      <w:r w:rsidRPr="00C9151E">
        <w:rPr>
          <w:szCs w:val="28"/>
        </w:rPr>
        <w:t xml:space="preserve"> настоящего постановления возложить на заместителя Главы городского округа Кинель по ЖКХ (Федотов С.Н.).</w:t>
      </w:r>
    </w:p>
    <w:p w:rsidR="009B6938" w:rsidRDefault="009B6938" w:rsidP="009B6938">
      <w:pPr>
        <w:rPr>
          <w:szCs w:val="28"/>
        </w:rPr>
      </w:pPr>
    </w:p>
    <w:p w:rsidR="009B6938" w:rsidRDefault="009B6938" w:rsidP="009B6938">
      <w:pPr>
        <w:rPr>
          <w:szCs w:val="28"/>
        </w:rPr>
      </w:pPr>
    </w:p>
    <w:p w:rsidR="009B6938" w:rsidRPr="00303130" w:rsidRDefault="009B6938" w:rsidP="009B6938">
      <w:pPr>
        <w:rPr>
          <w:szCs w:val="28"/>
        </w:rPr>
      </w:pPr>
    </w:p>
    <w:p w:rsidR="009B6938" w:rsidRPr="00513890" w:rsidRDefault="009B6938" w:rsidP="009B6938">
      <w:pPr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13890">
        <w:rPr>
          <w:szCs w:val="28"/>
        </w:rPr>
        <w:tab/>
      </w:r>
      <w:r>
        <w:rPr>
          <w:szCs w:val="28"/>
        </w:rPr>
        <w:t>В.А.Чихирев</w:t>
      </w:r>
    </w:p>
    <w:p w:rsidR="009B6938" w:rsidRDefault="009B6938" w:rsidP="009B6938">
      <w:pPr>
        <w:rPr>
          <w:szCs w:val="28"/>
        </w:rPr>
      </w:pPr>
    </w:p>
    <w:p w:rsidR="009B6938" w:rsidRDefault="009B6938" w:rsidP="009B6938">
      <w:pPr>
        <w:rPr>
          <w:szCs w:val="28"/>
        </w:rPr>
      </w:pPr>
    </w:p>
    <w:p w:rsidR="009B6938" w:rsidRDefault="009B6938" w:rsidP="009B6938">
      <w:pPr>
        <w:rPr>
          <w:szCs w:val="28"/>
        </w:rPr>
      </w:pPr>
    </w:p>
    <w:p w:rsidR="009B6938" w:rsidRDefault="009B6938" w:rsidP="009B6938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464" w:type="dxa"/>
        <w:tblLook w:val="01E0"/>
      </w:tblPr>
      <w:tblGrid>
        <w:gridCol w:w="5070"/>
        <w:gridCol w:w="4394"/>
      </w:tblGrid>
      <w:tr w:rsidR="009B6938" w:rsidRPr="008C7C36" w:rsidTr="00EE726E">
        <w:tc>
          <w:tcPr>
            <w:tcW w:w="5070" w:type="dxa"/>
          </w:tcPr>
          <w:p w:rsidR="009B6938" w:rsidRPr="008C7C36" w:rsidRDefault="009B6938" w:rsidP="00E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B6938" w:rsidRPr="008C7C36" w:rsidRDefault="009B6938" w:rsidP="00EE726E">
            <w:pPr>
              <w:jc w:val="center"/>
              <w:rPr>
                <w:szCs w:val="28"/>
              </w:rPr>
            </w:pPr>
            <w:r w:rsidRPr="008C7C36">
              <w:rPr>
                <w:szCs w:val="28"/>
              </w:rPr>
              <w:t>ПРИЛОЖЕНИЕ № 1</w:t>
            </w:r>
          </w:p>
          <w:p w:rsidR="009B6938" w:rsidRPr="008C7C36" w:rsidRDefault="009B6938" w:rsidP="00EE726E">
            <w:pPr>
              <w:jc w:val="center"/>
              <w:rPr>
                <w:szCs w:val="28"/>
              </w:rPr>
            </w:pPr>
            <w:r w:rsidRPr="008C7C36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B6938" w:rsidRPr="00EF4F9C" w:rsidRDefault="009B6938" w:rsidP="00EE726E">
            <w:pPr>
              <w:jc w:val="center"/>
              <w:rPr>
                <w:szCs w:val="28"/>
                <w:lang w:val="en-US"/>
              </w:rPr>
            </w:pPr>
            <w:r w:rsidRPr="004E346A">
              <w:rPr>
                <w:szCs w:val="28"/>
              </w:rPr>
              <w:t>от</w:t>
            </w:r>
            <w:r w:rsidRPr="004E346A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     </w:t>
            </w:r>
            <w:r w:rsidRPr="004E346A">
              <w:rPr>
                <w:szCs w:val="28"/>
                <w:u w:val="single"/>
              </w:rPr>
              <w:t xml:space="preserve">  </w:t>
            </w:r>
            <w:r w:rsidRPr="004E346A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9B6938" w:rsidRPr="008C7C36" w:rsidRDefault="009B6938" w:rsidP="00EE726E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B6938" w:rsidRDefault="009B6938" w:rsidP="009B6938">
      <w:pPr>
        <w:jc w:val="both"/>
        <w:rPr>
          <w:szCs w:val="28"/>
        </w:rPr>
      </w:pPr>
    </w:p>
    <w:p w:rsidR="009B6938" w:rsidRDefault="009B6938" w:rsidP="009B6938">
      <w:pPr>
        <w:jc w:val="both"/>
        <w:rPr>
          <w:szCs w:val="28"/>
        </w:rPr>
      </w:pPr>
    </w:p>
    <w:p w:rsidR="009B6938" w:rsidRPr="0074768B" w:rsidRDefault="009B6938" w:rsidP="009B6938">
      <w:pPr>
        <w:ind w:firstLine="698"/>
        <w:jc w:val="right"/>
        <w:rPr>
          <w:b/>
          <w:sz w:val="27"/>
          <w:szCs w:val="27"/>
        </w:rPr>
      </w:pPr>
      <w:r w:rsidRPr="0074768B">
        <w:rPr>
          <w:rStyle w:val="a4"/>
          <w:b w:val="0"/>
          <w:bCs/>
          <w:color w:val="auto"/>
          <w:sz w:val="27"/>
          <w:szCs w:val="27"/>
        </w:rPr>
        <w:t>Таблица 3.</w:t>
      </w:r>
    </w:p>
    <w:p w:rsidR="009B6938" w:rsidRDefault="009B6938" w:rsidP="009B6938">
      <w:pPr>
        <w:jc w:val="center"/>
        <w:rPr>
          <w:b/>
          <w:sz w:val="27"/>
          <w:szCs w:val="27"/>
        </w:rPr>
      </w:pPr>
      <w:r w:rsidRPr="0074768B">
        <w:rPr>
          <w:b/>
          <w:sz w:val="27"/>
          <w:szCs w:val="27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9B6938" w:rsidRPr="0074768B" w:rsidRDefault="009B6938" w:rsidP="009B6938">
      <w:pPr>
        <w:jc w:val="center"/>
        <w:rPr>
          <w:b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276"/>
        <w:gridCol w:w="1275"/>
        <w:gridCol w:w="1277"/>
        <w:gridCol w:w="1276"/>
        <w:gridCol w:w="1275"/>
      </w:tblGrid>
      <w:tr w:rsidR="009B6938" w:rsidRPr="00611440" w:rsidTr="00EE726E">
        <w:tc>
          <w:tcPr>
            <w:tcW w:w="1985" w:type="dxa"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программных мероприя</w:t>
            </w:r>
            <w:r w:rsidRPr="00611440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417" w:type="dxa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Всего</w:t>
            </w:r>
          </w:p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2014 год</w:t>
            </w:r>
          </w:p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2015 год</w:t>
            </w:r>
          </w:p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2016 год</w:t>
            </w:r>
          </w:p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2017 год</w:t>
            </w:r>
          </w:p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2018 год</w:t>
            </w:r>
          </w:p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B6938" w:rsidRPr="00611440" w:rsidTr="00EE726E">
        <w:tc>
          <w:tcPr>
            <w:tcW w:w="9781" w:type="dxa"/>
            <w:gridSpan w:val="7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38" w:rsidRPr="00611440" w:rsidTr="00EE726E">
        <w:tc>
          <w:tcPr>
            <w:tcW w:w="1985" w:type="dxa"/>
            <w:vMerge w:val="restart"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КУ «Управле</w:t>
            </w:r>
            <w:r w:rsidRPr="00611440">
              <w:rPr>
                <w:rFonts w:ascii="Times New Roman" w:hAnsi="Times New Roman" w:cs="Times New Roman"/>
              </w:rPr>
              <w:t>ние ЖКХ» городского округа Кинель»</w:t>
            </w: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9B6938" w:rsidRPr="00611440" w:rsidTr="00EE726E">
        <w:trPr>
          <w:trHeight w:val="556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523661" w:rsidRDefault="009B6938" w:rsidP="00EE726E">
            <w:pPr>
              <w:jc w:val="center"/>
              <w:rPr>
                <w:sz w:val="24"/>
                <w:szCs w:val="24"/>
                <w:lang w:val="en-US"/>
              </w:rPr>
            </w:pPr>
            <w:r w:rsidRPr="00523661">
              <w:rPr>
                <w:sz w:val="24"/>
                <w:szCs w:val="24"/>
                <w:lang w:val="en-US"/>
              </w:rPr>
              <w:t>75704.071</w:t>
            </w:r>
          </w:p>
        </w:tc>
        <w:tc>
          <w:tcPr>
            <w:tcW w:w="1276" w:type="dxa"/>
          </w:tcPr>
          <w:p w:rsidR="009B6938" w:rsidRPr="00523661" w:rsidRDefault="009B6938" w:rsidP="00EE726E">
            <w:pPr>
              <w:jc w:val="center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16321,794</w:t>
            </w:r>
          </w:p>
        </w:tc>
        <w:tc>
          <w:tcPr>
            <w:tcW w:w="1275" w:type="dxa"/>
          </w:tcPr>
          <w:p w:rsidR="009B6938" w:rsidRPr="00523661" w:rsidRDefault="009B6938" w:rsidP="00EE726E">
            <w:pPr>
              <w:jc w:val="center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39861,509</w:t>
            </w:r>
          </w:p>
        </w:tc>
        <w:tc>
          <w:tcPr>
            <w:tcW w:w="1277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</w:rPr>
              <w:t>18445,768</w:t>
            </w:r>
          </w:p>
        </w:tc>
        <w:tc>
          <w:tcPr>
            <w:tcW w:w="1276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  <w:lang w:val="en-US"/>
              </w:rPr>
              <w:t>75</w:t>
            </w:r>
            <w:r w:rsidRPr="005236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  <w:lang w:val="en-US"/>
              </w:rPr>
              <w:t>1000</w:t>
            </w:r>
            <w:r w:rsidRPr="00611440">
              <w:rPr>
                <w:rFonts w:ascii="Times New Roman" w:hAnsi="Times New Roman" w:cs="Times New Roman"/>
              </w:rPr>
              <w:t>,0</w:t>
            </w:r>
          </w:p>
        </w:tc>
      </w:tr>
      <w:tr w:rsidR="009B6938" w:rsidRPr="00611440" w:rsidTr="00EE726E"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9B6938" w:rsidRPr="00611440" w:rsidTr="00EE726E">
        <w:trPr>
          <w:trHeight w:val="609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58615,096</w:t>
            </w:r>
          </w:p>
        </w:tc>
        <w:tc>
          <w:tcPr>
            <w:tcW w:w="1276" w:type="dxa"/>
            <w:vAlign w:val="center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23286,923</w:t>
            </w:r>
          </w:p>
        </w:tc>
        <w:tc>
          <w:tcPr>
            <w:tcW w:w="1275" w:type="dxa"/>
            <w:vAlign w:val="center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35328,173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  <w:tr w:rsidR="009B6938" w:rsidRPr="00611440" w:rsidTr="00EE726E">
        <w:tc>
          <w:tcPr>
            <w:tcW w:w="1985" w:type="dxa"/>
            <w:vMerge w:val="restart"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 xml:space="preserve">МБУ «Служба благоустройства и содержания </w:t>
            </w:r>
            <w:proofErr w:type="gramStart"/>
            <w:r w:rsidRPr="00611440">
              <w:rPr>
                <w:rFonts w:ascii="Times New Roman" w:hAnsi="Times New Roman" w:cs="Times New Roman"/>
              </w:rPr>
              <w:t>г</w:t>
            </w:r>
            <w:proofErr w:type="gramEnd"/>
            <w:r w:rsidRPr="00611440">
              <w:rPr>
                <w:rFonts w:ascii="Times New Roman" w:hAnsi="Times New Roman" w:cs="Times New Roman"/>
              </w:rPr>
              <w:t>.о. Кинель»</w:t>
            </w: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9B6938" w:rsidRPr="00611440" w:rsidTr="00EE726E">
        <w:trPr>
          <w:trHeight w:val="658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523661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661">
              <w:rPr>
                <w:rFonts w:ascii="Times New Roman" w:hAnsi="Times New Roman" w:cs="Times New Roman"/>
              </w:rPr>
              <w:t>151</w:t>
            </w:r>
            <w:r w:rsidRPr="00523661">
              <w:rPr>
                <w:rFonts w:ascii="Times New Roman" w:hAnsi="Times New Roman" w:cs="Times New Roman"/>
                <w:lang w:val="en-US"/>
              </w:rPr>
              <w:t>17</w:t>
            </w:r>
            <w:r w:rsidRPr="00523661">
              <w:rPr>
                <w:rFonts w:ascii="Times New Roman" w:hAnsi="Times New Roman" w:cs="Times New Roman"/>
              </w:rPr>
              <w:t>,</w:t>
            </w:r>
            <w:r w:rsidRPr="00523661"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1276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523661">
              <w:rPr>
                <w:rFonts w:ascii="Times New Roman" w:hAnsi="Times New Roman" w:cs="Times New Roman"/>
              </w:rPr>
              <w:t>7591,725</w:t>
            </w:r>
          </w:p>
        </w:tc>
        <w:tc>
          <w:tcPr>
            <w:tcW w:w="1276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661">
              <w:rPr>
                <w:rFonts w:ascii="Times New Roman" w:hAnsi="Times New Roman" w:cs="Times New Roman"/>
              </w:rPr>
              <w:t>20</w:t>
            </w:r>
            <w:r w:rsidRPr="00523661">
              <w:rPr>
                <w:rFonts w:ascii="Times New Roman" w:hAnsi="Times New Roman" w:cs="Times New Roman"/>
                <w:lang w:val="en-US"/>
              </w:rPr>
              <w:t>23</w:t>
            </w:r>
            <w:r w:rsidRPr="00523661">
              <w:rPr>
                <w:rFonts w:ascii="Times New Roman" w:hAnsi="Times New Roman" w:cs="Times New Roman"/>
              </w:rPr>
              <w:t>,</w:t>
            </w:r>
            <w:r w:rsidRPr="00523661"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1275" w:type="dxa"/>
          </w:tcPr>
          <w:p w:rsidR="009B6938" w:rsidRPr="00523661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661">
              <w:rPr>
                <w:rFonts w:ascii="Times New Roman" w:hAnsi="Times New Roman" w:cs="Times New Roman"/>
                <w:lang w:val="en-US"/>
              </w:rPr>
              <w:t>5503</w:t>
            </w:r>
            <w:r w:rsidRPr="00523661">
              <w:rPr>
                <w:rFonts w:ascii="Times New Roman" w:hAnsi="Times New Roman" w:cs="Times New Roman"/>
              </w:rPr>
              <w:t>,</w:t>
            </w:r>
            <w:r w:rsidRPr="0052366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6938" w:rsidRPr="00611440" w:rsidTr="00EE726E">
        <w:trPr>
          <w:trHeight w:val="270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9B6938" w:rsidRPr="00611440" w:rsidTr="00EE726E"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  <w:tr w:rsidR="009B6938" w:rsidRPr="00611440" w:rsidTr="00EE726E">
        <w:tc>
          <w:tcPr>
            <w:tcW w:w="1985" w:type="dxa"/>
            <w:vMerge w:val="restart"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архитек</w:t>
            </w:r>
            <w:r w:rsidRPr="00611440">
              <w:rPr>
                <w:rFonts w:ascii="Times New Roman" w:hAnsi="Times New Roman" w:cs="Times New Roman"/>
              </w:rPr>
              <w:t xml:space="preserve">туры и </w:t>
            </w:r>
            <w:proofErr w:type="spellStart"/>
            <w:proofErr w:type="gramStart"/>
            <w:r w:rsidRPr="00611440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админист</w:t>
            </w:r>
            <w:r w:rsidRPr="00611440">
              <w:rPr>
                <w:rFonts w:ascii="Times New Roman" w:hAnsi="Times New Roman" w:cs="Times New Roman"/>
              </w:rPr>
              <w:t>рации г.о. Кинель</w:t>
            </w: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9B6938" w:rsidRPr="00611440" w:rsidTr="00EE726E">
        <w:trPr>
          <w:trHeight w:val="954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0754CB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107435,086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52592,346</w:t>
            </w:r>
          </w:p>
        </w:tc>
        <w:tc>
          <w:tcPr>
            <w:tcW w:w="1276" w:type="dxa"/>
          </w:tcPr>
          <w:p w:rsidR="009B6938" w:rsidRPr="00F31987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38284,74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16558</w:t>
            </w:r>
            <w:r>
              <w:rPr>
                <w:rFonts w:ascii="Times New Roman" w:hAnsi="Times New Roman" w:cs="Times New Roman"/>
              </w:rPr>
              <w:t>,</w:t>
            </w:r>
            <w:r w:rsidRPr="0061144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6938" w:rsidRPr="00611440" w:rsidTr="00EE726E">
        <w:trPr>
          <w:trHeight w:val="270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9B6938" w:rsidRPr="00611440" w:rsidTr="00EE726E"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F31987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111801,018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</w:tcPr>
          <w:p w:rsidR="009B6938" w:rsidRPr="000754CB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0754CB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0754C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  <w:tr w:rsidR="009B6938" w:rsidRPr="00611440" w:rsidTr="00EE726E">
        <w:tc>
          <w:tcPr>
            <w:tcW w:w="1985" w:type="dxa"/>
            <w:vMerge w:val="restart"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</w:t>
            </w:r>
            <w:r w:rsidRPr="00611440">
              <w:rPr>
                <w:rFonts w:ascii="Times New Roman" w:hAnsi="Times New Roman" w:cs="Times New Roman"/>
              </w:rPr>
              <w:t>рация г.о.Кинель</w:t>
            </w: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9B6938" w:rsidRPr="00611440" w:rsidTr="00EE726E">
        <w:trPr>
          <w:trHeight w:val="954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0754CB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4CB">
              <w:rPr>
                <w:rFonts w:ascii="Times New Roman" w:hAnsi="Times New Roman" w:cs="Times New Roman"/>
                <w:lang w:val="en-US"/>
              </w:rPr>
              <w:t>11717</w:t>
            </w:r>
            <w:r>
              <w:rPr>
                <w:rFonts w:ascii="Times New Roman" w:hAnsi="Times New Roman" w:cs="Times New Roman"/>
              </w:rPr>
              <w:t>,</w:t>
            </w:r>
            <w:r w:rsidRPr="000754CB">
              <w:rPr>
                <w:rFonts w:ascii="Times New Roman" w:hAnsi="Times New Roman" w:cs="Times New Roman"/>
                <w:lang w:val="en-US"/>
              </w:rPr>
              <w:t>528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0754CB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54CB">
              <w:rPr>
                <w:rFonts w:ascii="Times New Roman" w:hAnsi="Times New Roman" w:cs="Times New Roman"/>
                <w:lang w:val="en-US"/>
              </w:rPr>
              <w:t>5580</w:t>
            </w:r>
            <w:r>
              <w:rPr>
                <w:rFonts w:ascii="Times New Roman" w:hAnsi="Times New Roman" w:cs="Times New Roman"/>
              </w:rPr>
              <w:t>,</w:t>
            </w:r>
            <w:r w:rsidRPr="000754CB">
              <w:rPr>
                <w:rFonts w:ascii="Times New Roman" w:hAnsi="Times New Roman" w:cs="Times New Roman"/>
                <w:lang w:val="en-US"/>
              </w:rPr>
              <w:t>528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6137</w:t>
            </w:r>
            <w:r>
              <w:rPr>
                <w:rFonts w:ascii="Times New Roman" w:hAnsi="Times New Roman" w:cs="Times New Roman"/>
              </w:rPr>
              <w:t>,</w:t>
            </w:r>
            <w:r w:rsidRPr="00611440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B6938" w:rsidRPr="00611440" w:rsidTr="00EE726E">
        <w:trPr>
          <w:trHeight w:val="270"/>
        </w:trPr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6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9B6938" w:rsidRPr="00611440" w:rsidTr="00EE726E">
        <w:tc>
          <w:tcPr>
            <w:tcW w:w="1985" w:type="dxa"/>
            <w:vMerge/>
          </w:tcPr>
          <w:p w:rsidR="009B6938" w:rsidRPr="00611440" w:rsidRDefault="009B6938" w:rsidP="00EE72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938" w:rsidRPr="00611440" w:rsidRDefault="009B6938" w:rsidP="00EE72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B6938" w:rsidRPr="00611440" w:rsidRDefault="009B6938" w:rsidP="00EE726E">
            <w:pPr>
              <w:pStyle w:val="a5"/>
              <w:ind w:right="-48"/>
              <w:jc w:val="center"/>
              <w:rPr>
                <w:rFonts w:ascii="Times New Roman" w:hAnsi="Times New Roman" w:cs="Times New Roman"/>
              </w:rPr>
            </w:pPr>
            <w:r w:rsidRPr="00611440">
              <w:rPr>
                <w:rFonts w:ascii="Times New Roman" w:hAnsi="Times New Roman" w:cs="Times New Roman"/>
              </w:rPr>
              <w:t>0</w:t>
            </w:r>
          </w:p>
        </w:tc>
      </w:tr>
    </w:tbl>
    <w:p w:rsidR="009B6938" w:rsidRDefault="009B6938" w:rsidP="009B6938">
      <w:pPr>
        <w:jc w:val="both"/>
        <w:rPr>
          <w:szCs w:val="28"/>
        </w:rPr>
      </w:pPr>
    </w:p>
    <w:p w:rsidR="009B6938" w:rsidRDefault="009B6938" w:rsidP="009B6938">
      <w:pPr>
        <w:jc w:val="both"/>
        <w:rPr>
          <w:szCs w:val="28"/>
        </w:rPr>
      </w:pPr>
    </w:p>
    <w:p w:rsidR="009B6938" w:rsidRDefault="009B6938" w:rsidP="009B6938">
      <w:pPr>
        <w:jc w:val="both"/>
        <w:rPr>
          <w:szCs w:val="28"/>
        </w:rPr>
      </w:pPr>
    </w:p>
    <w:p w:rsidR="009B6938" w:rsidRDefault="009B6938" w:rsidP="009B6938">
      <w:pPr>
        <w:jc w:val="both"/>
      </w:pPr>
    </w:p>
    <w:p w:rsidR="009B6938" w:rsidRPr="00812B92" w:rsidRDefault="009B6938" w:rsidP="009B6938">
      <w:pPr>
        <w:rPr>
          <w:szCs w:val="28"/>
        </w:rPr>
        <w:sectPr w:rsidR="009B6938" w:rsidRPr="00812B92" w:rsidSect="00923084">
          <w:pgSz w:w="11906" w:h="16838"/>
          <w:pgMar w:top="1276" w:right="849" w:bottom="709" w:left="1701" w:header="708" w:footer="708" w:gutter="0"/>
          <w:cols w:space="708"/>
          <w:docGrid w:linePitch="381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9B6938" w:rsidRPr="0049522F" w:rsidTr="00EE726E">
        <w:tc>
          <w:tcPr>
            <w:tcW w:w="8188" w:type="dxa"/>
          </w:tcPr>
          <w:p w:rsidR="009B6938" w:rsidRPr="000429B9" w:rsidRDefault="009B6938" w:rsidP="00EE726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6938" w:rsidRPr="004E346A" w:rsidRDefault="009B6938" w:rsidP="00EE72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9B6938" w:rsidRPr="004E346A" w:rsidRDefault="009B6938" w:rsidP="00EE726E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B6938" w:rsidRPr="000754CB" w:rsidRDefault="009B6938" w:rsidP="00EE726E">
            <w:pPr>
              <w:jc w:val="center"/>
              <w:rPr>
                <w:szCs w:val="28"/>
              </w:rPr>
            </w:pPr>
            <w:r w:rsidRPr="004E346A">
              <w:rPr>
                <w:szCs w:val="28"/>
              </w:rPr>
              <w:t>от</w:t>
            </w:r>
            <w:r w:rsidRPr="004E346A">
              <w:rPr>
                <w:szCs w:val="28"/>
                <w:u w:val="single"/>
              </w:rPr>
              <w:t xml:space="preserve">  </w:t>
            </w:r>
            <w:r w:rsidRPr="000754CB">
              <w:rPr>
                <w:szCs w:val="28"/>
                <w:u w:val="single"/>
              </w:rPr>
              <w:t xml:space="preserve">                     </w:t>
            </w:r>
            <w:r w:rsidRPr="004E346A">
              <w:rPr>
                <w:szCs w:val="28"/>
                <w:u w:val="single"/>
              </w:rPr>
              <w:t xml:space="preserve">  </w:t>
            </w:r>
            <w:r w:rsidRPr="004E346A">
              <w:rPr>
                <w:szCs w:val="28"/>
              </w:rPr>
              <w:t>№</w:t>
            </w:r>
            <w:r w:rsidRPr="000754CB">
              <w:rPr>
                <w:szCs w:val="28"/>
              </w:rPr>
              <w:t>_______</w:t>
            </w:r>
          </w:p>
          <w:p w:rsidR="009B6938" w:rsidRDefault="009B6938" w:rsidP="00EE726E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9B6938" w:rsidRPr="009C2CF3" w:rsidRDefault="009B6938" w:rsidP="00EE726E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C2CF3">
              <w:rPr>
                <w:szCs w:val="28"/>
              </w:rPr>
              <w:t>Приложение № 1</w:t>
            </w:r>
          </w:p>
          <w:p w:rsidR="009B6938" w:rsidRPr="0049522F" w:rsidRDefault="009B6938" w:rsidP="00EE726E">
            <w:pPr>
              <w:ind w:left="34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9C2CF3"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9C2CF3">
              <w:rPr>
                <w:szCs w:val="28"/>
                <w:u w:val="single"/>
              </w:rPr>
              <w:t>(</w:t>
            </w:r>
            <w:r w:rsidRPr="009C2CF3">
              <w:rPr>
                <w:szCs w:val="28"/>
              </w:rPr>
              <w:t>в</w:t>
            </w:r>
            <w:r w:rsidRPr="009C2CF3">
              <w:rPr>
                <w:szCs w:val="28"/>
                <w:lang w:val="en-US"/>
              </w:rPr>
              <w:t> </w:t>
            </w:r>
            <w:r w:rsidRPr="009C2CF3">
              <w:rPr>
                <w:szCs w:val="28"/>
              </w:rPr>
              <w:t>редакции постановлений администрации городского округа от</w:t>
            </w:r>
            <w:r w:rsidRPr="009C2CF3">
              <w:rPr>
                <w:szCs w:val="28"/>
                <w:lang w:val="en-US"/>
              </w:rPr>
              <w:t> </w:t>
            </w:r>
            <w:r w:rsidRPr="009C2CF3">
              <w:rPr>
                <w:szCs w:val="28"/>
              </w:rPr>
              <w:t xml:space="preserve">31.01.2014, от 07.07.2014, от 29.07.2014, от 02.09.2014, от 22.09.2014, от 24.10.2014, от 08.12.2014, от 09.02.2015, от 06.04.2015, </w:t>
            </w:r>
            <w:r w:rsidRPr="009E166C">
              <w:rPr>
                <w:szCs w:val="28"/>
              </w:rPr>
              <w:t>от 02.06.2015, от 15.07.2015, от 04.09.2015, от 29.10.2015, от 31.12.2015</w:t>
            </w:r>
            <w:r>
              <w:rPr>
                <w:szCs w:val="28"/>
              </w:rPr>
              <w:t>, от 14.03.2017, от 18.05.2017</w:t>
            </w:r>
            <w:r w:rsidRPr="009E166C">
              <w:rPr>
                <w:szCs w:val="28"/>
              </w:rPr>
              <w:t>)</w:t>
            </w:r>
            <w:proofErr w:type="gramEnd"/>
          </w:p>
        </w:tc>
      </w:tr>
    </w:tbl>
    <w:p w:rsidR="009B6938" w:rsidRPr="0049522F" w:rsidRDefault="009B6938" w:rsidP="009B6938">
      <w:pPr>
        <w:pStyle w:val="1"/>
        <w:spacing w:line="240" w:lineRule="auto"/>
        <w:jc w:val="center"/>
        <w:rPr>
          <w:szCs w:val="24"/>
        </w:rPr>
      </w:pPr>
    </w:p>
    <w:p w:rsidR="009B6938" w:rsidRPr="0049522F" w:rsidRDefault="009B6938" w:rsidP="009B6938">
      <w:pPr>
        <w:pStyle w:val="1"/>
        <w:spacing w:line="240" w:lineRule="auto"/>
        <w:jc w:val="center"/>
        <w:rPr>
          <w:szCs w:val="24"/>
        </w:rPr>
      </w:pPr>
      <w:r w:rsidRPr="0049522F">
        <w:rPr>
          <w:szCs w:val="24"/>
        </w:rPr>
        <w:t>Перечень программных мероприятий</w:t>
      </w:r>
    </w:p>
    <w:tbl>
      <w:tblPr>
        <w:tblW w:w="161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48"/>
        <w:gridCol w:w="847"/>
        <w:gridCol w:w="1563"/>
        <w:gridCol w:w="1563"/>
        <w:gridCol w:w="1307"/>
        <w:gridCol w:w="1290"/>
        <w:gridCol w:w="1261"/>
        <w:gridCol w:w="1146"/>
        <w:gridCol w:w="2702"/>
      </w:tblGrid>
      <w:tr w:rsidR="009B6938" w:rsidRPr="00CE4FA7" w:rsidTr="009B6938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4F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4FA7">
              <w:rPr>
                <w:sz w:val="24"/>
                <w:szCs w:val="24"/>
              </w:rPr>
              <w:t>/</w:t>
            </w:r>
            <w:proofErr w:type="spellStart"/>
            <w:r w:rsidRPr="00CE4FA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8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Исполнитель</w:t>
            </w:r>
          </w:p>
        </w:tc>
      </w:tr>
      <w:tr w:rsidR="009B6938" w:rsidRPr="00CE4FA7" w:rsidTr="009B6938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CE4FA7" w:rsidTr="009B6938">
        <w:tc>
          <w:tcPr>
            <w:tcW w:w="16181" w:type="dxa"/>
            <w:gridSpan w:val="10"/>
            <w:tcBorders>
              <w:top w:val="double" w:sz="4" w:space="0" w:color="auto"/>
            </w:tcBorders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9B6938" w:rsidRPr="00CE4FA7" w:rsidTr="009B6938">
        <w:tc>
          <w:tcPr>
            <w:tcW w:w="654" w:type="dxa"/>
          </w:tcPr>
          <w:p w:rsidR="009B6938" w:rsidRPr="00CE4FA7" w:rsidRDefault="009B6938" w:rsidP="00EE726E">
            <w:pPr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1.1.</w:t>
            </w:r>
          </w:p>
        </w:tc>
        <w:tc>
          <w:tcPr>
            <w:tcW w:w="3848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 xml:space="preserve">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</w:t>
            </w:r>
            <w:r w:rsidRPr="00CE4FA7">
              <w:rPr>
                <w:sz w:val="24"/>
                <w:szCs w:val="24"/>
              </w:rPr>
              <w:lastRenderedPageBreak/>
              <w:t>ОГИБДД МО МВД России «Кинельский»)</w:t>
            </w:r>
          </w:p>
        </w:tc>
        <w:tc>
          <w:tcPr>
            <w:tcW w:w="847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lastRenderedPageBreak/>
              <w:t>2014 - 2018</w:t>
            </w:r>
          </w:p>
        </w:tc>
        <w:tc>
          <w:tcPr>
            <w:tcW w:w="8130" w:type="dxa"/>
            <w:gridSpan w:val="6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В рамках финансирования</w:t>
            </w:r>
          </w:p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 xml:space="preserve">Администрация городского округа Кинель Самарской области </w:t>
            </w:r>
          </w:p>
        </w:tc>
      </w:tr>
      <w:tr w:rsidR="009B6938" w:rsidRPr="00CE4FA7" w:rsidTr="009B6938">
        <w:tc>
          <w:tcPr>
            <w:tcW w:w="654" w:type="dxa"/>
          </w:tcPr>
          <w:p w:rsidR="009B6938" w:rsidRPr="00CE4FA7" w:rsidRDefault="009B6938" w:rsidP="00EE726E">
            <w:pPr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В рамках финансирования</w:t>
            </w:r>
          </w:p>
          <w:p w:rsidR="009B6938" w:rsidRPr="00CE4FA7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МБУ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9B6938" w:rsidRPr="00CE4FA7" w:rsidTr="009B6938">
        <w:tc>
          <w:tcPr>
            <w:tcW w:w="654" w:type="dxa"/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CE4FA7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47" w:type="dxa"/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E4FA7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CE4FA7" w:rsidTr="009B6938">
        <w:tc>
          <w:tcPr>
            <w:tcW w:w="16181" w:type="dxa"/>
            <w:gridSpan w:val="10"/>
          </w:tcPr>
          <w:p w:rsidR="009B6938" w:rsidRPr="00CE4FA7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E4FA7">
              <w:rPr>
                <w:b/>
                <w:sz w:val="24"/>
                <w:szCs w:val="24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9B6938" w:rsidRPr="00CA53FA" w:rsidTr="009B6938"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 w:rsidRPr="00CA53FA">
              <w:rPr>
                <w:sz w:val="24"/>
                <w:szCs w:val="24"/>
              </w:rPr>
              <w:t>2014 -201</w:t>
            </w:r>
            <w:r w:rsidRPr="00CA53F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0F184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45028,605</w:t>
            </w:r>
          </w:p>
        </w:tc>
        <w:tc>
          <w:tcPr>
            <w:tcW w:w="1563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2764,6</w:t>
            </w:r>
          </w:p>
        </w:tc>
        <w:tc>
          <w:tcPr>
            <w:tcW w:w="1307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7111,273</w:t>
            </w:r>
          </w:p>
        </w:tc>
        <w:tc>
          <w:tcPr>
            <w:tcW w:w="1290" w:type="dxa"/>
            <w:vAlign w:val="center"/>
          </w:tcPr>
          <w:p w:rsidR="009B6938" w:rsidRPr="006E6E68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6E6E6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6E6E6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611440">
              <w:t>М</w:t>
            </w:r>
            <w:r>
              <w:t>КУ «Управле</w:t>
            </w:r>
            <w:r w:rsidRPr="00611440">
              <w:t>ние ЖКХ» городского округа Кинель»</w:t>
            </w:r>
            <w:r w:rsidRPr="00CA53FA">
              <w:rPr>
                <w:bCs/>
                <w:sz w:val="24"/>
                <w:szCs w:val="24"/>
              </w:rPr>
              <w:t xml:space="preserve"> (далее М</w:t>
            </w:r>
            <w:r>
              <w:rPr>
                <w:bCs/>
                <w:sz w:val="24"/>
                <w:szCs w:val="24"/>
              </w:rPr>
              <w:t>К</w:t>
            </w:r>
            <w:r w:rsidRPr="00CA53FA">
              <w:rPr>
                <w:bCs/>
                <w:sz w:val="24"/>
                <w:szCs w:val="24"/>
              </w:rPr>
              <w:t>У «Управление ЖКХ»)</w:t>
            </w: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E94529" w:rsidRDefault="009B6938" w:rsidP="00EE726E">
            <w:pPr>
              <w:pStyle w:val="a3"/>
              <w:ind w:left="360"/>
              <w:rPr>
                <w:color w:val="FF0000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Merge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1E18B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1E18B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11989,413</w:t>
            </w:r>
          </w:p>
        </w:tc>
        <w:tc>
          <w:tcPr>
            <w:tcW w:w="1261" w:type="dxa"/>
            <w:vAlign w:val="center"/>
          </w:tcPr>
          <w:p w:rsidR="009B6938" w:rsidRPr="008940E0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23163,319</w:t>
            </w:r>
          </w:p>
        </w:tc>
        <w:tc>
          <w:tcPr>
            <w:tcW w:w="1146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bCs/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Самарской области (далее – </w:t>
            </w:r>
            <w:r w:rsidRPr="00CA53FA">
              <w:rPr>
                <w:sz w:val="24"/>
                <w:szCs w:val="24"/>
              </w:rPr>
              <w:lastRenderedPageBreak/>
              <w:t>Управление архитектуры и градостроительства)</w:t>
            </w:r>
          </w:p>
        </w:tc>
      </w:tr>
      <w:tr w:rsidR="009B6938" w:rsidRPr="00CA53FA" w:rsidTr="009B6938"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7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591D5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581,92</w:t>
            </w:r>
          </w:p>
        </w:tc>
        <w:tc>
          <w:tcPr>
            <w:tcW w:w="1563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309,9</w:t>
            </w:r>
          </w:p>
        </w:tc>
        <w:tc>
          <w:tcPr>
            <w:tcW w:w="1307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272,02</w:t>
            </w:r>
          </w:p>
        </w:tc>
        <w:tc>
          <w:tcPr>
            <w:tcW w:w="1290" w:type="dxa"/>
            <w:vAlign w:val="center"/>
          </w:tcPr>
          <w:p w:rsidR="009B6938" w:rsidRPr="00C26BA0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A53F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E94529" w:rsidRDefault="009B6938" w:rsidP="00EE726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  <w:vMerge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591D5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B6938" w:rsidRPr="00CA53FA" w:rsidTr="009B6938">
        <w:trPr>
          <w:trHeight w:val="339"/>
        </w:trPr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A53F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rPr>
          <w:trHeight w:val="348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D46DA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3910,336</w:t>
            </w:r>
          </w:p>
        </w:tc>
        <w:tc>
          <w:tcPr>
            <w:tcW w:w="1563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1845,236</w:t>
            </w:r>
          </w:p>
        </w:tc>
        <w:tc>
          <w:tcPr>
            <w:tcW w:w="1307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2065,1</w:t>
            </w:r>
          </w:p>
        </w:tc>
        <w:tc>
          <w:tcPr>
            <w:tcW w:w="1290" w:type="dxa"/>
            <w:vAlign w:val="center"/>
          </w:tcPr>
          <w:p w:rsidR="009B6938" w:rsidRPr="00D46DA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320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D46DA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9B6938" w:rsidRPr="00D46DA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9B6938" w:rsidRPr="001A002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360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D46DA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58615,096</w:t>
            </w:r>
          </w:p>
        </w:tc>
        <w:tc>
          <w:tcPr>
            <w:tcW w:w="1563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23286,923</w:t>
            </w:r>
          </w:p>
        </w:tc>
        <w:tc>
          <w:tcPr>
            <w:tcW w:w="1307" w:type="dxa"/>
            <w:vAlign w:val="center"/>
          </w:tcPr>
          <w:p w:rsidR="009B6938" w:rsidRPr="00D46DA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6DAA">
              <w:rPr>
                <w:sz w:val="24"/>
                <w:szCs w:val="24"/>
              </w:rPr>
              <w:t>35328,173</w:t>
            </w:r>
          </w:p>
        </w:tc>
        <w:tc>
          <w:tcPr>
            <w:tcW w:w="1290" w:type="dxa"/>
            <w:vAlign w:val="center"/>
          </w:tcPr>
          <w:p w:rsidR="009B6938" w:rsidRPr="00D56664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339"/>
        </w:trPr>
        <w:tc>
          <w:tcPr>
            <w:tcW w:w="654" w:type="dxa"/>
            <w:vMerge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9B6938" w:rsidRPr="001A002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B6938" w:rsidRPr="00E94529" w:rsidTr="009B6938">
        <w:trPr>
          <w:trHeight w:val="348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21601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216011">
              <w:rPr>
                <w:sz w:val="24"/>
                <w:szCs w:val="24"/>
              </w:rPr>
              <w:t>3596,0</w:t>
            </w:r>
          </w:p>
        </w:tc>
        <w:tc>
          <w:tcPr>
            <w:tcW w:w="1563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</w:rPr>
              <w:t>2000,0</w:t>
            </w:r>
          </w:p>
        </w:tc>
        <w:tc>
          <w:tcPr>
            <w:tcW w:w="1261" w:type="dxa"/>
            <w:vAlign w:val="center"/>
          </w:tcPr>
          <w:p w:rsidR="009B6938" w:rsidRPr="00ED2F70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ED2F70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1E18B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1E18B3">
              <w:rPr>
                <w:sz w:val="24"/>
                <w:szCs w:val="24"/>
                <w:lang w:val="en-US"/>
              </w:rPr>
              <w:t>1596</w:t>
            </w:r>
            <w:r w:rsidRPr="001E18B3">
              <w:rPr>
                <w:sz w:val="24"/>
                <w:szCs w:val="24"/>
              </w:rPr>
              <w:t>,</w:t>
            </w:r>
            <w:r w:rsidRPr="001E18B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320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</w:tcPr>
          <w:p w:rsidR="009B6938" w:rsidRPr="00CA53FA" w:rsidRDefault="009B6938" w:rsidP="00EE726E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360"/>
        </w:trPr>
        <w:tc>
          <w:tcPr>
            <w:tcW w:w="654" w:type="dxa"/>
            <w:vMerge/>
            <w:vAlign w:val="center"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A64676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64676">
              <w:rPr>
                <w:sz w:val="24"/>
                <w:szCs w:val="24"/>
              </w:rPr>
              <w:t>41801,018</w:t>
            </w:r>
          </w:p>
        </w:tc>
        <w:tc>
          <w:tcPr>
            <w:tcW w:w="1563" w:type="dxa"/>
            <w:vAlign w:val="center"/>
          </w:tcPr>
          <w:p w:rsidR="009B6938" w:rsidRPr="00A64676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646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A64676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A646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A64676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64676">
              <w:rPr>
                <w:sz w:val="24"/>
                <w:szCs w:val="24"/>
              </w:rPr>
              <w:t>41801,018</w:t>
            </w:r>
          </w:p>
        </w:tc>
        <w:tc>
          <w:tcPr>
            <w:tcW w:w="1261" w:type="dxa"/>
            <w:vAlign w:val="center"/>
          </w:tcPr>
          <w:p w:rsidR="009B6938" w:rsidRPr="00A64676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</w:tr>
      <w:tr w:rsidR="009B6938" w:rsidRPr="00E94529" w:rsidTr="009B6938">
        <w:tc>
          <w:tcPr>
            <w:tcW w:w="654" w:type="dxa"/>
          </w:tcPr>
          <w:p w:rsidR="009B6938" w:rsidRPr="006D31DF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7" w:type="dxa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20209,881</w:t>
            </w:r>
          </w:p>
        </w:tc>
        <w:tc>
          <w:tcPr>
            <w:tcW w:w="1563" w:type="dxa"/>
            <w:vAlign w:val="center"/>
          </w:tcPr>
          <w:p w:rsidR="009B6938" w:rsidRPr="00CE4FA7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4127,706</w:t>
            </w:r>
          </w:p>
        </w:tc>
        <w:tc>
          <w:tcPr>
            <w:tcW w:w="1307" w:type="dxa"/>
            <w:vAlign w:val="center"/>
          </w:tcPr>
          <w:p w:rsidR="009B6938" w:rsidRPr="00CE4FA7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7379,4</w:t>
            </w:r>
          </w:p>
        </w:tc>
        <w:tc>
          <w:tcPr>
            <w:tcW w:w="1290" w:type="dxa"/>
            <w:vAlign w:val="center"/>
          </w:tcPr>
          <w:p w:rsidR="009B6938" w:rsidRPr="006E6E68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E6E68">
              <w:rPr>
                <w:sz w:val="24"/>
                <w:szCs w:val="24"/>
              </w:rPr>
              <w:t>8702,775</w:t>
            </w:r>
          </w:p>
        </w:tc>
        <w:tc>
          <w:tcPr>
            <w:tcW w:w="1261" w:type="dxa"/>
            <w:vAlign w:val="center"/>
          </w:tcPr>
          <w:p w:rsidR="009B6938" w:rsidRPr="00BE2E3C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BE2E3C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CE4FA7" w:rsidRDefault="009B6938" w:rsidP="00EE726E">
            <w:pPr>
              <w:contextualSpacing/>
              <w:rPr>
                <w:sz w:val="24"/>
                <w:szCs w:val="24"/>
              </w:rPr>
            </w:pPr>
            <w:r w:rsidRPr="00CE4FA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E4FA7">
              <w:rPr>
                <w:sz w:val="24"/>
                <w:szCs w:val="24"/>
              </w:rPr>
              <w:t>У «Управление ЖКХ»</w:t>
            </w:r>
          </w:p>
        </w:tc>
      </w:tr>
      <w:tr w:rsidR="009B6938" w:rsidRPr="00CA53FA" w:rsidTr="009B6938"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285,13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285,13</w:t>
            </w:r>
          </w:p>
        </w:tc>
        <w:tc>
          <w:tcPr>
            <w:tcW w:w="1290" w:type="dxa"/>
            <w:vAlign w:val="center"/>
          </w:tcPr>
          <w:p w:rsidR="009B6938" w:rsidRPr="00D56664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A53F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  <w:vMerge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 xml:space="preserve">Управление архитектуры и </w:t>
            </w:r>
            <w:r w:rsidRPr="00CA53FA">
              <w:rPr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9B6938" w:rsidRPr="00E94529" w:rsidTr="009B6938">
        <w:tc>
          <w:tcPr>
            <w:tcW w:w="654" w:type="dxa"/>
          </w:tcPr>
          <w:p w:rsidR="009B6938" w:rsidRPr="00D3152F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D3152F" w:rsidRDefault="009B6938" w:rsidP="00EE726E">
            <w:pPr>
              <w:contextualSpacing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Поставка щебня и природной песчано-гравийной смеси для дорожных работ</w:t>
            </w:r>
          </w:p>
        </w:tc>
        <w:tc>
          <w:tcPr>
            <w:tcW w:w="847" w:type="dxa"/>
          </w:tcPr>
          <w:p w:rsidR="009B6938" w:rsidRPr="004F434F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 w:rsidRPr="00D3152F"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Align w:val="center"/>
          </w:tcPr>
          <w:p w:rsidR="009B6938" w:rsidRPr="004F434F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6989.44</w:t>
            </w:r>
          </w:p>
        </w:tc>
        <w:tc>
          <w:tcPr>
            <w:tcW w:w="1563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300,0</w:t>
            </w:r>
          </w:p>
        </w:tc>
        <w:tc>
          <w:tcPr>
            <w:tcW w:w="1307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1626,1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5063,34</w:t>
            </w:r>
          </w:p>
        </w:tc>
        <w:tc>
          <w:tcPr>
            <w:tcW w:w="1261" w:type="dxa"/>
            <w:vAlign w:val="center"/>
          </w:tcPr>
          <w:p w:rsidR="009B6938" w:rsidRPr="00D3152F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D3152F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D3152F" w:rsidRDefault="009B6938" w:rsidP="00EE726E">
            <w:pPr>
              <w:contextualSpacing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D3152F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D3152F" w:rsidTr="009B6938">
        <w:tc>
          <w:tcPr>
            <w:tcW w:w="654" w:type="dxa"/>
          </w:tcPr>
          <w:p w:rsidR="009B6938" w:rsidRPr="00D3152F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D3152F" w:rsidRDefault="009B6938" w:rsidP="00EE726E">
            <w:pPr>
              <w:contextualSpacing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7" w:type="dxa"/>
          </w:tcPr>
          <w:p w:rsidR="009B6938" w:rsidRPr="00D3152F" w:rsidRDefault="009B6938" w:rsidP="00EE726E">
            <w:pPr>
              <w:contextualSpacing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4F434F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210.0</w:t>
            </w:r>
          </w:p>
        </w:tc>
        <w:tc>
          <w:tcPr>
            <w:tcW w:w="1563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10,0</w:t>
            </w:r>
          </w:p>
        </w:tc>
        <w:tc>
          <w:tcPr>
            <w:tcW w:w="1307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100,0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D3152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D3152F" w:rsidRDefault="009B6938" w:rsidP="00EE726E">
            <w:pPr>
              <w:contextualSpacing/>
              <w:rPr>
                <w:sz w:val="24"/>
                <w:szCs w:val="24"/>
              </w:rPr>
            </w:pPr>
            <w:r w:rsidRPr="00D3152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D3152F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c>
          <w:tcPr>
            <w:tcW w:w="654" w:type="dxa"/>
            <w:vMerge w:val="restart"/>
          </w:tcPr>
          <w:p w:rsidR="009B6938" w:rsidRPr="00B2242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 xml:space="preserve">Ремонт грунтовых дорог </w:t>
            </w:r>
          </w:p>
        </w:tc>
        <w:tc>
          <w:tcPr>
            <w:tcW w:w="847" w:type="dxa"/>
          </w:tcPr>
          <w:p w:rsidR="009B6938" w:rsidRPr="004F434F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 w:rsidRPr="00B2242A"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4F434F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12862</w:t>
            </w:r>
            <w:r>
              <w:rPr>
                <w:sz w:val="24"/>
                <w:szCs w:val="24"/>
                <w:lang w:val="en-US"/>
              </w:rPr>
              <w:t>.625</w:t>
            </w:r>
          </w:p>
        </w:tc>
        <w:tc>
          <w:tcPr>
            <w:tcW w:w="1563" w:type="dxa"/>
            <w:vAlign w:val="center"/>
          </w:tcPr>
          <w:p w:rsidR="009B6938" w:rsidRPr="00B2242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  <w:lang w:val="en-US"/>
              </w:rPr>
              <w:t>974</w:t>
            </w:r>
            <w:r w:rsidRPr="00B2242A"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  <w:vAlign w:val="center"/>
          </w:tcPr>
          <w:p w:rsidR="009B6938" w:rsidRPr="00B2242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2386,9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1910,0</w:t>
            </w:r>
          </w:p>
        </w:tc>
        <w:tc>
          <w:tcPr>
            <w:tcW w:w="1261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B2242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B2242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4F434F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1563" w:type="dxa"/>
            <w:vMerge/>
            <w:vAlign w:val="center"/>
          </w:tcPr>
          <w:p w:rsidR="009B6938" w:rsidRPr="00B2242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7591,725</w:t>
            </w:r>
          </w:p>
        </w:tc>
        <w:tc>
          <w:tcPr>
            <w:tcW w:w="1261" w:type="dxa"/>
            <w:vAlign w:val="center"/>
          </w:tcPr>
          <w:p w:rsidR="009B6938" w:rsidRPr="00085DD5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085DD5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085DD5" w:rsidRDefault="009B6938" w:rsidP="00EE72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9B6938" w:rsidRPr="000E1E3F" w:rsidTr="009B6938">
        <w:tc>
          <w:tcPr>
            <w:tcW w:w="654" w:type="dxa"/>
            <w:vMerge w:val="restart"/>
          </w:tcPr>
          <w:p w:rsidR="009B6938" w:rsidRPr="000E1E3F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0E1E3F" w:rsidRDefault="009B6938" w:rsidP="00EE726E">
            <w:pPr>
              <w:contextualSpacing/>
              <w:rPr>
                <w:sz w:val="24"/>
                <w:szCs w:val="24"/>
              </w:rPr>
            </w:pPr>
            <w:r w:rsidRPr="000E1E3F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</w:tcPr>
          <w:p w:rsidR="009B6938" w:rsidRPr="00E01891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 w:rsidRPr="000E1E3F"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B31FA9" w:rsidRDefault="009B6938" w:rsidP="00EE726E">
            <w:pPr>
              <w:jc w:val="center"/>
              <w:rPr>
                <w:color w:val="000000"/>
                <w:sz w:val="24"/>
                <w:szCs w:val="24"/>
              </w:rPr>
            </w:pPr>
            <w:r w:rsidRPr="00B31FA9">
              <w:rPr>
                <w:color w:val="000000"/>
                <w:sz w:val="24"/>
                <w:szCs w:val="24"/>
              </w:rPr>
              <w:t>6698,717</w:t>
            </w:r>
          </w:p>
        </w:tc>
        <w:tc>
          <w:tcPr>
            <w:tcW w:w="1563" w:type="dxa"/>
            <w:vAlign w:val="center"/>
          </w:tcPr>
          <w:p w:rsidR="009B6938" w:rsidRPr="000E1E3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0E1E3F">
              <w:rPr>
                <w:sz w:val="24"/>
                <w:szCs w:val="24"/>
              </w:rPr>
              <w:t>1392,576</w:t>
            </w:r>
          </w:p>
        </w:tc>
        <w:tc>
          <w:tcPr>
            <w:tcW w:w="1307" w:type="dxa"/>
            <w:vAlign w:val="center"/>
          </w:tcPr>
          <w:p w:rsidR="009B6938" w:rsidRPr="000E1E3F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0E1E3F">
              <w:rPr>
                <w:sz w:val="24"/>
                <w:szCs w:val="24"/>
              </w:rPr>
              <w:t>719,1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493,252</w:t>
            </w:r>
          </w:p>
        </w:tc>
        <w:tc>
          <w:tcPr>
            <w:tcW w:w="1261" w:type="dxa"/>
            <w:vAlign w:val="center"/>
          </w:tcPr>
          <w:p w:rsidR="009B6938" w:rsidRPr="000E1E3F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0E1E3F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0E1E3F" w:rsidRDefault="009B6938" w:rsidP="00EE726E">
            <w:pPr>
              <w:contextualSpacing/>
              <w:rPr>
                <w:sz w:val="24"/>
                <w:szCs w:val="24"/>
              </w:rPr>
            </w:pPr>
            <w:r w:rsidRPr="000E1E3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0E1E3F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0E1E3F" w:rsidTr="009B6938">
        <w:tc>
          <w:tcPr>
            <w:tcW w:w="654" w:type="dxa"/>
            <w:vMerge/>
          </w:tcPr>
          <w:p w:rsidR="009B6938" w:rsidRPr="000E1E3F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0E1E3F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E01891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1563" w:type="dxa"/>
            <w:vMerge/>
            <w:vAlign w:val="center"/>
          </w:tcPr>
          <w:p w:rsidR="009B6938" w:rsidRPr="00B31FA9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C26BA0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EF4F9C" w:rsidRDefault="009B6938" w:rsidP="00EE726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F4F9C">
              <w:rPr>
                <w:color w:val="000000"/>
                <w:sz w:val="24"/>
                <w:szCs w:val="24"/>
              </w:rPr>
              <w:t>600,789</w:t>
            </w:r>
          </w:p>
        </w:tc>
        <w:tc>
          <w:tcPr>
            <w:tcW w:w="1146" w:type="dxa"/>
            <w:vAlign w:val="center"/>
          </w:tcPr>
          <w:p w:rsidR="009B6938" w:rsidRPr="000E1E3F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3493,0</w:t>
            </w:r>
          </w:p>
        </w:tc>
        <w:tc>
          <w:tcPr>
            <w:tcW w:w="2702" w:type="dxa"/>
            <w:vAlign w:val="center"/>
          </w:tcPr>
          <w:p w:rsidR="009B6938" w:rsidRPr="00C26BA0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9B6938" w:rsidRPr="00A03182" w:rsidTr="009B6938">
        <w:tc>
          <w:tcPr>
            <w:tcW w:w="654" w:type="dxa"/>
            <w:vMerge w:val="restart"/>
          </w:tcPr>
          <w:p w:rsidR="009B6938" w:rsidRPr="00A03182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A03182" w:rsidRDefault="009B6938" w:rsidP="00EE726E">
            <w:pPr>
              <w:contextualSpacing/>
              <w:rPr>
                <w:sz w:val="24"/>
                <w:szCs w:val="24"/>
              </w:rPr>
            </w:pPr>
            <w:r w:rsidRPr="00A03182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</w:tcPr>
          <w:p w:rsidR="009B6938" w:rsidRPr="00E01891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147E42" w:rsidRDefault="009B6938" w:rsidP="00EE72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31FA9">
              <w:rPr>
                <w:color w:val="000000"/>
                <w:sz w:val="24"/>
                <w:szCs w:val="24"/>
              </w:rPr>
              <w:t>622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B31FA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B31F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  <w:vAlign w:val="center"/>
          </w:tcPr>
          <w:p w:rsidR="009B6938" w:rsidRPr="00A03182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03182">
              <w:rPr>
                <w:sz w:val="24"/>
                <w:szCs w:val="24"/>
              </w:rPr>
              <w:t>858,6</w:t>
            </w:r>
          </w:p>
        </w:tc>
        <w:tc>
          <w:tcPr>
            <w:tcW w:w="1307" w:type="dxa"/>
            <w:vAlign w:val="center"/>
          </w:tcPr>
          <w:p w:rsidR="009B6938" w:rsidRPr="00A03182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03182">
              <w:rPr>
                <w:sz w:val="24"/>
                <w:szCs w:val="24"/>
              </w:rPr>
              <w:t>1096,25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1038,76</w:t>
            </w:r>
          </w:p>
        </w:tc>
        <w:tc>
          <w:tcPr>
            <w:tcW w:w="1261" w:type="dxa"/>
            <w:vAlign w:val="center"/>
          </w:tcPr>
          <w:p w:rsidR="009B6938" w:rsidRPr="00EF4F9C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EF4F9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A03182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A03182" w:rsidRDefault="009B6938" w:rsidP="00EE726E">
            <w:pPr>
              <w:contextualSpacing/>
              <w:rPr>
                <w:bCs/>
                <w:sz w:val="24"/>
                <w:szCs w:val="24"/>
              </w:rPr>
            </w:pPr>
            <w:r w:rsidRPr="00A031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A03182">
              <w:rPr>
                <w:sz w:val="24"/>
                <w:szCs w:val="24"/>
              </w:rPr>
              <w:t>У «Управление ЖКХ»</w:t>
            </w:r>
          </w:p>
        </w:tc>
      </w:tr>
      <w:tr w:rsidR="009B6938" w:rsidRPr="00A03182" w:rsidTr="009B6938">
        <w:tc>
          <w:tcPr>
            <w:tcW w:w="654" w:type="dxa"/>
            <w:vMerge/>
          </w:tcPr>
          <w:p w:rsidR="009B6938" w:rsidRPr="00A03182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A03182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E01891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1563" w:type="dxa"/>
            <w:vMerge/>
            <w:vAlign w:val="center"/>
          </w:tcPr>
          <w:p w:rsidR="009B6938" w:rsidRPr="00A03182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E01891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E01891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E01891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147E42" w:rsidRDefault="009B6938" w:rsidP="00EE726E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F4F9C">
              <w:rPr>
                <w:color w:val="000000"/>
                <w:sz w:val="24"/>
                <w:szCs w:val="24"/>
              </w:rPr>
              <w:t>1422,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EF4F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6" w:type="dxa"/>
            <w:vAlign w:val="center"/>
          </w:tcPr>
          <w:p w:rsidR="009B6938" w:rsidRPr="00085DD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810,0</w:t>
            </w:r>
          </w:p>
        </w:tc>
        <w:tc>
          <w:tcPr>
            <w:tcW w:w="2702" w:type="dxa"/>
            <w:vAlign w:val="center"/>
          </w:tcPr>
          <w:p w:rsidR="009B6938" w:rsidRPr="00A03182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9B6938" w:rsidRPr="005F3DED" w:rsidTr="009B6938">
        <w:tc>
          <w:tcPr>
            <w:tcW w:w="654" w:type="dxa"/>
            <w:vMerge w:val="restart"/>
          </w:tcPr>
          <w:p w:rsidR="009B6938" w:rsidRPr="005F3DED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5F3DE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F3DED">
              <w:rPr>
                <w:sz w:val="24"/>
                <w:szCs w:val="24"/>
              </w:rPr>
              <w:t>36,19</w:t>
            </w:r>
          </w:p>
        </w:tc>
        <w:tc>
          <w:tcPr>
            <w:tcW w:w="1563" w:type="dxa"/>
            <w:vAlign w:val="center"/>
          </w:tcPr>
          <w:p w:rsidR="009B6938" w:rsidRPr="005F3DE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1914,17</w:t>
            </w:r>
          </w:p>
        </w:tc>
        <w:tc>
          <w:tcPr>
            <w:tcW w:w="1307" w:type="dxa"/>
            <w:vAlign w:val="center"/>
          </w:tcPr>
          <w:p w:rsidR="009B6938" w:rsidRPr="005F3DE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722,02*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vAlign w:val="center"/>
          </w:tcPr>
          <w:p w:rsidR="009B6938" w:rsidRPr="00026C12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026C12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5F3DED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5F3DED" w:rsidTr="009B6938">
        <w:tc>
          <w:tcPr>
            <w:tcW w:w="654" w:type="dxa"/>
            <w:vMerge/>
          </w:tcPr>
          <w:p w:rsidR="009B6938" w:rsidRPr="005F3DED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5F3DED">
              <w:rPr>
                <w:sz w:val="24"/>
                <w:szCs w:val="24"/>
              </w:rPr>
              <w:t xml:space="preserve"> -2018</w:t>
            </w:r>
          </w:p>
        </w:tc>
        <w:tc>
          <w:tcPr>
            <w:tcW w:w="1563" w:type="dxa"/>
            <w:vMerge/>
            <w:vAlign w:val="center"/>
          </w:tcPr>
          <w:p w:rsidR="009B6938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9B6938" w:rsidRPr="005F3DED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5F3DED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085DD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085DD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702" w:type="dxa"/>
            <w:vAlign w:val="center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МБУ «СБСК»</w:t>
            </w:r>
          </w:p>
        </w:tc>
      </w:tr>
      <w:tr w:rsidR="009B6938" w:rsidRPr="005F3DED" w:rsidTr="009B6938">
        <w:tc>
          <w:tcPr>
            <w:tcW w:w="654" w:type="dxa"/>
          </w:tcPr>
          <w:p w:rsidR="009B6938" w:rsidRPr="005F3DED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026C12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152.403</w:t>
            </w:r>
          </w:p>
        </w:tc>
        <w:tc>
          <w:tcPr>
            <w:tcW w:w="1563" w:type="dxa"/>
            <w:vAlign w:val="center"/>
          </w:tcPr>
          <w:p w:rsidR="009B6938" w:rsidRPr="005F3DE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114,762</w:t>
            </w:r>
          </w:p>
        </w:tc>
        <w:tc>
          <w:tcPr>
            <w:tcW w:w="1307" w:type="dxa"/>
            <w:vAlign w:val="center"/>
          </w:tcPr>
          <w:p w:rsidR="009B6938" w:rsidRPr="005F3DE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683CB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683CB1">
              <w:rPr>
                <w:sz w:val="24"/>
                <w:szCs w:val="24"/>
              </w:rPr>
              <w:t>37,641</w:t>
            </w:r>
          </w:p>
        </w:tc>
        <w:tc>
          <w:tcPr>
            <w:tcW w:w="1261" w:type="dxa"/>
            <w:vAlign w:val="center"/>
          </w:tcPr>
          <w:p w:rsidR="009B6938" w:rsidRPr="00026C12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5F3DED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5F3DED" w:rsidRDefault="009B6938" w:rsidP="00EE726E">
            <w:pPr>
              <w:contextualSpacing/>
              <w:rPr>
                <w:sz w:val="24"/>
                <w:szCs w:val="24"/>
              </w:rPr>
            </w:pPr>
            <w:r w:rsidRPr="005F3DE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5F3DED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Приобретение и установка светофорных объектов</w:t>
            </w:r>
          </w:p>
        </w:tc>
        <w:tc>
          <w:tcPr>
            <w:tcW w:w="847" w:type="dxa"/>
          </w:tcPr>
          <w:p w:rsidR="009B6938" w:rsidRPr="00B80243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B80243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2086.244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15</w:t>
            </w:r>
            <w:r w:rsidRPr="00CA53FA">
              <w:rPr>
                <w:sz w:val="24"/>
                <w:szCs w:val="24"/>
                <w:lang w:val="en-US"/>
              </w:rPr>
              <w:t>47</w:t>
            </w:r>
            <w:r w:rsidRPr="00CA53FA">
              <w:rPr>
                <w:sz w:val="24"/>
                <w:szCs w:val="24"/>
              </w:rPr>
              <w:t>,244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539,0**</w:t>
            </w:r>
          </w:p>
        </w:tc>
        <w:tc>
          <w:tcPr>
            <w:tcW w:w="1290" w:type="dxa"/>
            <w:vAlign w:val="center"/>
          </w:tcPr>
          <w:p w:rsidR="009B6938" w:rsidRPr="0067474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A53F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 w:rsidRPr="00CA53FA">
              <w:rPr>
                <w:sz w:val="24"/>
                <w:szCs w:val="24"/>
              </w:rPr>
              <w:t>-</w:t>
            </w:r>
            <w:r w:rsidRPr="00CA53FA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63" w:type="dxa"/>
            <w:vMerge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B8024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B8024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B80243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 xml:space="preserve">Управление </w:t>
            </w:r>
            <w:r w:rsidRPr="00CA53FA">
              <w:rPr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2014-2018</w:t>
            </w:r>
          </w:p>
        </w:tc>
        <w:tc>
          <w:tcPr>
            <w:tcW w:w="8130" w:type="dxa"/>
            <w:gridSpan w:val="6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21601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216011">
              <w:rPr>
                <w:sz w:val="24"/>
                <w:szCs w:val="24"/>
              </w:rPr>
              <w:t>25210,839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20560,839</w:t>
            </w:r>
          </w:p>
        </w:tc>
        <w:tc>
          <w:tcPr>
            <w:tcW w:w="1261" w:type="dxa"/>
            <w:vAlign w:val="center"/>
          </w:tcPr>
          <w:p w:rsidR="009B6938" w:rsidRPr="00ED2F70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ED2F70">
              <w:rPr>
                <w:sz w:val="24"/>
                <w:szCs w:val="24"/>
              </w:rPr>
              <w:t>4650,0</w:t>
            </w:r>
            <w:r w:rsidRPr="00ED2F70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CA53F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30" w:type="dxa"/>
            <w:gridSpan w:val="6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rPr>
          <w:trHeight w:val="73"/>
        </w:trPr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21601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216011">
              <w:rPr>
                <w:sz w:val="24"/>
                <w:szCs w:val="24"/>
              </w:rPr>
              <w:t>14144,035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B6938" w:rsidRPr="00534E56" w:rsidRDefault="009B6938" w:rsidP="00EE726E">
            <w:pPr>
              <w:contextualSpacing/>
              <w:jc w:val="right"/>
              <w:rPr>
                <w:i/>
                <w:color w:val="FF0000"/>
                <w:sz w:val="24"/>
                <w:szCs w:val="24"/>
              </w:rPr>
            </w:pPr>
            <w:r w:rsidRPr="00A64676">
              <w:rPr>
                <w:sz w:val="24"/>
                <w:szCs w:val="24"/>
              </w:rPr>
              <w:t>14144,035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E94529" w:rsidTr="009B6938">
        <w:trPr>
          <w:trHeight w:val="73"/>
        </w:trPr>
        <w:tc>
          <w:tcPr>
            <w:tcW w:w="654" w:type="dxa"/>
            <w:vMerge w:val="restart"/>
          </w:tcPr>
          <w:p w:rsidR="009B6938" w:rsidRPr="00E559C5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E559C5" w:rsidRDefault="009B6938" w:rsidP="00EE726E">
            <w:pPr>
              <w:contextualSpacing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7" w:type="dxa"/>
          </w:tcPr>
          <w:p w:rsidR="009B6938" w:rsidRPr="00E559C5" w:rsidRDefault="009B6938" w:rsidP="00EE726E">
            <w:pPr>
              <w:contextualSpacing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201</w:t>
            </w:r>
            <w:r w:rsidRPr="00E559C5">
              <w:rPr>
                <w:sz w:val="24"/>
                <w:szCs w:val="24"/>
                <w:lang w:val="en-US"/>
              </w:rPr>
              <w:t>4</w:t>
            </w:r>
            <w:r w:rsidRPr="00E559C5">
              <w:rPr>
                <w:sz w:val="24"/>
                <w:szCs w:val="24"/>
              </w:rPr>
              <w:t xml:space="preserve"> -2015</w:t>
            </w:r>
          </w:p>
        </w:tc>
        <w:tc>
          <w:tcPr>
            <w:tcW w:w="1563" w:type="dxa"/>
            <w:vMerge w:val="restart"/>
            <w:vAlign w:val="center"/>
          </w:tcPr>
          <w:p w:rsidR="009B6938" w:rsidRPr="00CD567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325,0</w:t>
            </w:r>
          </w:p>
        </w:tc>
        <w:tc>
          <w:tcPr>
            <w:tcW w:w="1563" w:type="dxa"/>
            <w:vAlign w:val="center"/>
          </w:tcPr>
          <w:p w:rsidR="009B6938" w:rsidRPr="00E559C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163,0</w:t>
            </w:r>
          </w:p>
        </w:tc>
        <w:tc>
          <w:tcPr>
            <w:tcW w:w="1307" w:type="dxa"/>
            <w:vAlign w:val="center"/>
          </w:tcPr>
          <w:p w:rsidR="009B6938" w:rsidRPr="00E559C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304D9B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304D9B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304D9B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Align w:val="center"/>
          </w:tcPr>
          <w:p w:rsidR="009B6938" w:rsidRPr="00E559C5" w:rsidRDefault="009B6938" w:rsidP="00EE726E">
            <w:pPr>
              <w:contextualSpacing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559C5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E94529" w:rsidTr="009B6938">
        <w:trPr>
          <w:trHeight w:val="73"/>
        </w:trPr>
        <w:tc>
          <w:tcPr>
            <w:tcW w:w="654" w:type="dxa"/>
            <w:vMerge/>
          </w:tcPr>
          <w:p w:rsidR="009B6938" w:rsidRPr="00050689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9B6938" w:rsidRPr="00E559C5" w:rsidRDefault="009B6938" w:rsidP="00EE726E">
            <w:pPr>
              <w:contextualSpacing/>
              <w:rPr>
                <w:sz w:val="24"/>
                <w:szCs w:val="24"/>
              </w:rPr>
            </w:pPr>
            <w:r w:rsidRPr="00E559C5"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  <w:vMerge/>
            <w:vAlign w:val="center"/>
          </w:tcPr>
          <w:p w:rsidR="009B6938" w:rsidRPr="00E94529" w:rsidRDefault="009B6938" w:rsidP="00EE726E">
            <w:pPr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67474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67474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162,0</w:t>
            </w:r>
          </w:p>
        </w:tc>
        <w:tc>
          <w:tcPr>
            <w:tcW w:w="1261" w:type="dxa"/>
            <w:vAlign w:val="center"/>
          </w:tcPr>
          <w:p w:rsidR="009B6938" w:rsidRPr="00ED2F70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ED2F70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B6938" w:rsidRPr="00B2242A" w:rsidTr="009B6938">
        <w:tc>
          <w:tcPr>
            <w:tcW w:w="654" w:type="dxa"/>
          </w:tcPr>
          <w:p w:rsidR="009B6938" w:rsidRPr="00B2242A" w:rsidRDefault="009B6938" w:rsidP="009B6938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Разработка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2016-2018</w:t>
            </w: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  <w:lang w:val="en-US"/>
              </w:rPr>
              <w:t>2075</w:t>
            </w:r>
            <w:r w:rsidRPr="00523661">
              <w:rPr>
                <w:sz w:val="24"/>
                <w:szCs w:val="24"/>
              </w:rPr>
              <w:t>,0</w:t>
            </w: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9B6938" w:rsidRPr="00523661" w:rsidRDefault="009B6938" w:rsidP="00EE726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523661" w:rsidRDefault="009B6938" w:rsidP="00EE726E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1000,0</w:t>
            </w:r>
          </w:p>
        </w:tc>
        <w:tc>
          <w:tcPr>
            <w:tcW w:w="1261" w:type="dxa"/>
            <w:vAlign w:val="center"/>
          </w:tcPr>
          <w:p w:rsidR="009B6938" w:rsidRPr="00523661" w:rsidRDefault="009B6938" w:rsidP="00EE726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  <w:lang w:val="en-US"/>
              </w:rPr>
              <w:t>75.</w:t>
            </w:r>
            <w:r w:rsidRPr="00523661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B2242A" w:rsidRDefault="009B6938" w:rsidP="00EE726E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1000.</w:t>
            </w:r>
            <w:r w:rsidRPr="00B2242A"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9B6938" w:rsidRPr="00B2242A" w:rsidRDefault="009B6938" w:rsidP="00EE726E">
            <w:pPr>
              <w:contextualSpacing/>
              <w:rPr>
                <w:sz w:val="24"/>
                <w:szCs w:val="24"/>
              </w:rPr>
            </w:pPr>
            <w:r w:rsidRPr="00B224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B2242A">
              <w:rPr>
                <w:sz w:val="24"/>
                <w:szCs w:val="24"/>
              </w:rPr>
              <w:t>У «Управление ЖКХ»</w:t>
            </w:r>
          </w:p>
        </w:tc>
      </w:tr>
      <w:tr w:rsidR="009B6938" w:rsidRPr="00CA53FA" w:rsidTr="009B6938">
        <w:tc>
          <w:tcPr>
            <w:tcW w:w="654" w:type="dxa"/>
          </w:tcPr>
          <w:p w:rsidR="009B6938" w:rsidRPr="00050689" w:rsidRDefault="009B6938" w:rsidP="00EE726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5472DB" w:rsidRDefault="009B6938" w:rsidP="00EE726E">
            <w:pPr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25944,569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59630,466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102550,763</w:t>
            </w:r>
          </w:p>
        </w:tc>
        <w:tc>
          <w:tcPr>
            <w:tcW w:w="1261" w:type="dxa"/>
            <w:vAlign w:val="center"/>
          </w:tcPr>
          <w:p w:rsidR="009B6938" w:rsidRPr="002C475B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44055,623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8099</w:t>
            </w:r>
            <w:r w:rsidRPr="00CA53FA">
              <w:rPr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2702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16181" w:type="dxa"/>
            <w:gridSpan w:val="10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Раздел 3. Муниципальный дорожный фонд</w:t>
            </w:r>
            <w:proofErr w:type="gramStart"/>
            <w:r w:rsidRPr="00CA53FA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9B6938" w:rsidRPr="00CA53FA" w:rsidTr="009B6938">
        <w:tc>
          <w:tcPr>
            <w:tcW w:w="654" w:type="dxa"/>
            <w:vMerge w:val="restart"/>
          </w:tcPr>
          <w:p w:rsidR="009B6938" w:rsidRPr="00CA53FA" w:rsidRDefault="009B6938" w:rsidP="009B6938">
            <w:pPr>
              <w:pStyle w:val="a3"/>
              <w:numPr>
                <w:ilvl w:val="1"/>
                <w:numId w:val="3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7" w:type="dxa"/>
            <w:vMerge w:val="restart"/>
          </w:tcPr>
          <w:p w:rsidR="009B6938" w:rsidRPr="00AE27A0" w:rsidRDefault="009B6938" w:rsidP="00EE726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8130" w:type="dxa"/>
            <w:gridSpan w:val="6"/>
            <w:vAlign w:val="center"/>
          </w:tcPr>
          <w:p w:rsidR="009B6938" w:rsidRPr="00523661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CA53FA">
              <w:rPr>
                <w:sz w:val="24"/>
                <w:szCs w:val="24"/>
              </w:rPr>
              <w:t xml:space="preserve">У «Управление ЖКХ» </w:t>
            </w:r>
          </w:p>
        </w:tc>
      </w:tr>
      <w:tr w:rsidR="009B6938" w:rsidRPr="00CA53FA" w:rsidTr="009B6938"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Pr="00963C39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523661">
              <w:rPr>
                <w:sz w:val="24"/>
                <w:szCs w:val="24"/>
              </w:rPr>
              <w:t>15559,216</w:t>
            </w: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2366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15559,216</w:t>
            </w:r>
          </w:p>
        </w:tc>
        <w:tc>
          <w:tcPr>
            <w:tcW w:w="1290" w:type="dxa"/>
            <w:vAlign w:val="center"/>
          </w:tcPr>
          <w:p w:rsidR="009B6938" w:rsidRPr="00963C3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963C3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Pr="00963C3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8130" w:type="dxa"/>
            <w:gridSpan w:val="6"/>
            <w:shd w:val="clear" w:color="auto" w:fill="auto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Default="009B6938" w:rsidP="00EE726E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3" w:type="dxa"/>
            <w:vAlign w:val="center"/>
          </w:tcPr>
          <w:p w:rsidR="009B6938" w:rsidRPr="00523661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523661" w:rsidRDefault="009B6938" w:rsidP="00EE726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654" w:type="dxa"/>
            <w:vMerge/>
          </w:tcPr>
          <w:p w:rsidR="009B6938" w:rsidRPr="00CA53FA" w:rsidRDefault="009B6938" w:rsidP="00EE72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8130" w:type="dxa"/>
            <w:gridSpan w:val="6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E94529" w:rsidRDefault="009B6938" w:rsidP="00EE726E">
            <w:pPr>
              <w:ind w:left="720"/>
              <w:rPr>
                <w:color w:val="FF0000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Pr="00963C3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9B6938" w:rsidRPr="00CD5675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43313,515</w:t>
            </w:r>
          </w:p>
        </w:tc>
        <w:tc>
          <w:tcPr>
            <w:tcW w:w="1563" w:type="dxa"/>
            <w:vAlign w:val="center"/>
          </w:tcPr>
          <w:p w:rsidR="009B6938" w:rsidRPr="00D40D5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0D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963C39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CA53FA">
              <w:rPr>
                <w:sz w:val="24"/>
                <w:szCs w:val="24"/>
              </w:rPr>
              <w:t>17880,094</w:t>
            </w:r>
          </w:p>
        </w:tc>
        <w:tc>
          <w:tcPr>
            <w:tcW w:w="1261" w:type="dxa"/>
            <w:vAlign w:val="center"/>
          </w:tcPr>
          <w:p w:rsidR="009B6938" w:rsidRPr="0037266D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10471,421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14962</w:t>
            </w:r>
            <w:r w:rsidRPr="00CA53FA">
              <w:rPr>
                <w:sz w:val="24"/>
                <w:szCs w:val="24"/>
              </w:rPr>
              <w:t>,0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E94529" w:rsidRDefault="009B6938" w:rsidP="00EE726E">
            <w:pPr>
              <w:ind w:left="720"/>
              <w:rPr>
                <w:color w:val="FF0000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30" w:type="dxa"/>
            <w:gridSpan w:val="6"/>
            <w:vAlign w:val="center"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1A002A"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E94529" w:rsidTr="009B6938">
        <w:tc>
          <w:tcPr>
            <w:tcW w:w="654" w:type="dxa"/>
            <w:vMerge/>
          </w:tcPr>
          <w:p w:rsidR="009B6938" w:rsidRPr="00E94529" w:rsidRDefault="009B6938" w:rsidP="00EE726E">
            <w:pPr>
              <w:ind w:left="720"/>
              <w:rPr>
                <w:color w:val="FF0000"/>
                <w:sz w:val="24"/>
                <w:szCs w:val="24"/>
              </w:rPr>
            </w:pPr>
          </w:p>
        </w:tc>
        <w:tc>
          <w:tcPr>
            <w:tcW w:w="3848" w:type="dxa"/>
            <w:vMerge/>
          </w:tcPr>
          <w:p w:rsidR="009B6938" w:rsidRPr="00E94529" w:rsidRDefault="009B6938" w:rsidP="00EE726E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9B6938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9B6938" w:rsidRPr="00AE27A0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E27A0">
              <w:rPr>
                <w:sz w:val="24"/>
                <w:szCs w:val="24"/>
              </w:rPr>
              <w:t>55855,965</w:t>
            </w:r>
          </w:p>
        </w:tc>
        <w:tc>
          <w:tcPr>
            <w:tcW w:w="1563" w:type="dxa"/>
            <w:vAlign w:val="center"/>
          </w:tcPr>
          <w:p w:rsidR="009B6938" w:rsidRPr="00AE27A0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AE27A0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AE27A0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AE27A0">
              <w:rPr>
                <w:sz w:val="24"/>
                <w:szCs w:val="24"/>
              </w:rPr>
              <w:t>55855,965</w:t>
            </w:r>
          </w:p>
        </w:tc>
        <w:tc>
          <w:tcPr>
            <w:tcW w:w="1146" w:type="dxa"/>
            <w:vAlign w:val="center"/>
          </w:tcPr>
          <w:p w:rsidR="009B6938" w:rsidRPr="00AE27A0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vAlign w:val="center"/>
          </w:tcPr>
          <w:p w:rsidR="009B6938" w:rsidRPr="00CA53FA" w:rsidRDefault="009B6938" w:rsidP="00EE726E">
            <w:pPr>
              <w:contextualSpacing/>
              <w:rPr>
                <w:sz w:val="24"/>
                <w:szCs w:val="24"/>
              </w:rPr>
            </w:pPr>
          </w:p>
        </w:tc>
      </w:tr>
      <w:tr w:rsidR="009B6938" w:rsidRPr="00CA53FA" w:rsidTr="009B6938">
        <w:trPr>
          <w:trHeight w:val="549"/>
        </w:trPr>
        <w:tc>
          <w:tcPr>
            <w:tcW w:w="654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1E4EAE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114728,696</w:t>
            </w:r>
          </w:p>
        </w:tc>
        <w:tc>
          <w:tcPr>
            <w:tcW w:w="1563" w:type="dxa"/>
            <w:vAlign w:val="center"/>
          </w:tcPr>
          <w:p w:rsidR="009B6938" w:rsidRPr="007F6164" w:rsidRDefault="009B6938" w:rsidP="00EE726E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15559,216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17880,094</w:t>
            </w:r>
          </w:p>
        </w:tc>
        <w:tc>
          <w:tcPr>
            <w:tcW w:w="1261" w:type="dxa"/>
            <w:vAlign w:val="center"/>
          </w:tcPr>
          <w:p w:rsidR="009B6938" w:rsidRPr="00AE27A0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66327,386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14962</w:t>
            </w:r>
            <w:r w:rsidRPr="00CA53F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32734D" w:rsidTr="009B6938">
        <w:tc>
          <w:tcPr>
            <w:tcW w:w="16181" w:type="dxa"/>
            <w:gridSpan w:val="10"/>
          </w:tcPr>
          <w:p w:rsidR="009B6938" w:rsidRPr="0032734D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32734D">
              <w:rPr>
                <w:b/>
                <w:sz w:val="24"/>
                <w:szCs w:val="24"/>
              </w:rPr>
              <w:t>Раздел 4. Профилактика детского дорожно-транспортного травматизма.</w:t>
            </w:r>
          </w:p>
        </w:tc>
      </w:tr>
      <w:tr w:rsidR="009B6938" w:rsidRPr="0032734D" w:rsidTr="009B6938">
        <w:tc>
          <w:tcPr>
            <w:tcW w:w="654" w:type="dxa"/>
          </w:tcPr>
          <w:p w:rsidR="009B6938" w:rsidRPr="0032734D" w:rsidRDefault="009B6938" w:rsidP="009B6938">
            <w:pPr>
              <w:pStyle w:val="a3"/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32734D" w:rsidRDefault="009B6938" w:rsidP="00EE726E">
            <w:pPr>
              <w:contextualSpacing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Участие в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</w:tcPr>
          <w:p w:rsidR="009B6938" w:rsidRPr="0032734D" w:rsidRDefault="009B6938" w:rsidP="00EE726E">
            <w:pPr>
              <w:contextualSpacing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vAlign w:val="center"/>
          </w:tcPr>
          <w:p w:rsidR="009B6938" w:rsidRPr="0032734D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В рамках финансирования</w:t>
            </w:r>
          </w:p>
          <w:p w:rsidR="009B6938" w:rsidRPr="0032734D" w:rsidRDefault="009B6938" w:rsidP="00EE726E">
            <w:pPr>
              <w:contextualSpacing/>
              <w:jc w:val="center"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vAlign w:val="center"/>
          </w:tcPr>
          <w:p w:rsidR="009B6938" w:rsidRPr="0032734D" w:rsidRDefault="009B6938" w:rsidP="00EE726E">
            <w:pPr>
              <w:contextualSpacing/>
              <w:rPr>
                <w:sz w:val="24"/>
                <w:szCs w:val="24"/>
              </w:rPr>
            </w:pPr>
            <w:r w:rsidRPr="0032734D">
              <w:rPr>
                <w:sz w:val="24"/>
                <w:szCs w:val="24"/>
              </w:rPr>
              <w:t>МБУ ДМО «Альянс молодых»</w:t>
            </w:r>
          </w:p>
        </w:tc>
      </w:tr>
      <w:tr w:rsidR="009B6938" w:rsidRPr="00CA53FA" w:rsidTr="009B6938">
        <w:tc>
          <w:tcPr>
            <w:tcW w:w="654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vAlign w:val="center"/>
          </w:tcPr>
          <w:p w:rsidR="009B6938" w:rsidRPr="00CA53FA" w:rsidRDefault="009B6938" w:rsidP="00EE726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16181" w:type="dxa"/>
            <w:gridSpan w:val="10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317D9C"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9B6938" w:rsidRPr="00CA53FA" w:rsidTr="009B6938">
        <w:tc>
          <w:tcPr>
            <w:tcW w:w="654" w:type="dxa"/>
          </w:tcPr>
          <w:p w:rsidR="009B6938" w:rsidRPr="00317D9C" w:rsidRDefault="009B6938" w:rsidP="00EE726E">
            <w:pPr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5.1.</w:t>
            </w:r>
          </w:p>
        </w:tc>
        <w:tc>
          <w:tcPr>
            <w:tcW w:w="3848" w:type="dxa"/>
          </w:tcPr>
          <w:p w:rsidR="009B6938" w:rsidRPr="00317D9C" w:rsidRDefault="009B6938" w:rsidP="00EE726E">
            <w:pPr>
              <w:contextualSpacing/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</w:t>
            </w:r>
            <w:r>
              <w:rPr>
                <w:sz w:val="24"/>
                <w:szCs w:val="24"/>
              </w:rPr>
              <w:t>г</w:t>
            </w:r>
            <w:r w:rsidRPr="00317D9C">
              <w:rPr>
                <w:sz w:val="24"/>
                <w:szCs w:val="24"/>
              </w:rPr>
              <w:t>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</w:tcPr>
          <w:p w:rsidR="009B6938" w:rsidRPr="00317D9C" w:rsidRDefault="009B6938" w:rsidP="00EE726E">
            <w:pPr>
              <w:contextualSpacing/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2017-2018</w:t>
            </w:r>
          </w:p>
        </w:tc>
        <w:tc>
          <w:tcPr>
            <w:tcW w:w="1563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0D53">
              <w:rPr>
                <w:sz w:val="24"/>
                <w:szCs w:val="24"/>
              </w:rPr>
              <w:t>11717,528</w:t>
            </w:r>
          </w:p>
        </w:tc>
        <w:tc>
          <w:tcPr>
            <w:tcW w:w="1563" w:type="dxa"/>
            <w:vAlign w:val="center"/>
          </w:tcPr>
          <w:p w:rsidR="009B6938" w:rsidRPr="00D40D5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0D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D40D5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0D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D40D53" w:rsidRDefault="009B6938" w:rsidP="00EE726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40D53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0D53">
              <w:rPr>
                <w:sz w:val="24"/>
                <w:szCs w:val="24"/>
              </w:rPr>
              <w:t>5580,528</w:t>
            </w:r>
          </w:p>
        </w:tc>
        <w:tc>
          <w:tcPr>
            <w:tcW w:w="1146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sz w:val="24"/>
                <w:szCs w:val="24"/>
              </w:rPr>
            </w:pPr>
            <w:r w:rsidRPr="00D40D53">
              <w:rPr>
                <w:sz w:val="24"/>
                <w:szCs w:val="24"/>
              </w:rPr>
              <w:t>6137,0</w:t>
            </w:r>
          </w:p>
        </w:tc>
        <w:tc>
          <w:tcPr>
            <w:tcW w:w="2702" w:type="dxa"/>
            <w:vAlign w:val="center"/>
          </w:tcPr>
          <w:p w:rsidR="009B6938" w:rsidRPr="00317D9C" w:rsidRDefault="009B6938" w:rsidP="00EE726E">
            <w:pPr>
              <w:contextualSpacing/>
              <w:rPr>
                <w:sz w:val="24"/>
                <w:szCs w:val="24"/>
              </w:rPr>
            </w:pPr>
            <w:r w:rsidRPr="00317D9C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9B6938" w:rsidRPr="00CA53FA" w:rsidTr="009B6938">
        <w:tc>
          <w:tcPr>
            <w:tcW w:w="654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317D9C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317D9C"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</w:tcPr>
          <w:p w:rsidR="009B6938" w:rsidRPr="00317D9C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40D53">
              <w:rPr>
                <w:b/>
                <w:sz w:val="24"/>
                <w:szCs w:val="24"/>
              </w:rPr>
              <w:t>11717,528</w:t>
            </w:r>
          </w:p>
        </w:tc>
        <w:tc>
          <w:tcPr>
            <w:tcW w:w="1563" w:type="dxa"/>
            <w:vAlign w:val="center"/>
          </w:tcPr>
          <w:p w:rsidR="009B6938" w:rsidRPr="00D40D53" w:rsidRDefault="009B6938" w:rsidP="00EE726E">
            <w:pPr>
              <w:ind w:left="-107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40D53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vAlign w:val="center"/>
          </w:tcPr>
          <w:p w:rsidR="009B6938" w:rsidRPr="00D40D53" w:rsidRDefault="009B6938" w:rsidP="00EE726E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40D53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vAlign w:val="center"/>
          </w:tcPr>
          <w:p w:rsidR="009B6938" w:rsidRPr="00D40D53" w:rsidRDefault="009B6938" w:rsidP="00EE726E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40D53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40D53">
              <w:rPr>
                <w:b/>
                <w:sz w:val="24"/>
                <w:szCs w:val="24"/>
              </w:rPr>
              <w:t>5580,528</w:t>
            </w:r>
          </w:p>
        </w:tc>
        <w:tc>
          <w:tcPr>
            <w:tcW w:w="1146" w:type="dxa"/>
            <w:vAlign w:val="center"/>
          </w:tcPr>
          <w:p w:rsidR="009B6938" w:rsidRPr="00D40D53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40D53">
              <w:rPr>
                <w:b/>
                <w:sz w:val="24"/>
                <w:szCs w:val="24"/>
              </w:rPr>
              <w:t>6137,0</w:t>
            </w:r>
          </w:p>
        </w:tc>
        <w:tc>
          <w:tcPr>
            <w:tcW w:w="2702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B6938" w:rsidRPr="00CA53FA" w:rsidTr="009B6938">
        <w:tc>
          <w:tcPr>
            <w:tcW w:w="654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  <w:r w:rsidRPr="00CA53FA"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vAlign w:val="center"/>
          </w:tcPr>
          <w:p w:rsidR="009B6938" w:rsidRPr="00534E56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534E56">
              <w:rPr>
                <w:b/>
                <w:sz w:val="24"/>
                <w:szCs w:val="24"/>
              </w:rPr>
              <w:t>380390,793</w:t>
            </w:r>
          </w:p>
        </w:tc>
        <w:tc>
          <w:tcPr>
            <w:tcW w:w="1563" w:type="dxa"/>
            <w:vAlign w:val="center"/>
          </w:tcPr>
          <w:p w:rsidR="009B6938" w:rsidRPr="00534E56" w:rsidRDefault="009B6938" w:rsidP="00EE726E">
            <w:pPr>
              <w:ind w:left="-107" w:right="-108"/>
              <w:contextualSpacing/>
              <w:jc w:val="right"/>
              <w:rPr>
                <w:b/>
                <w:sz w:val="24"/>
                <w:szCs w:val="24"/>
              </w:rPr>
            </w:pPr>
            <w:r w:rsidRPr="00534E56"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vAlign w:val="center"/>
          </w:tcPr>
          <w:p w:rsidR="009B6938" w:rsidRPr="00534E56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534E56">
              <w:rPr>
                <w:b/>
                <w:sz w:val="24"/>
                <w:szCs w:val="24"/>
              </w:rPr>
              <w:t>75189,682</w:t>
            </w:r>
          </w:p>
        </w:tc>
        <w:tc>
          <w:tcPr>
            <w:tcW w:w="1290" w:type="dxa"/>
            <w:vAlign w:val="center"/>
          </w:tcPr>
          <w:p w:rsidR="009B6938" w:rsidRPr="00534E56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534E56">
              <w:rPr>
                <w:b/>
                <w:sz w:val="24"/>
                <w:szCs w:val="24"/>
              </w:rPr>
              <w:t>120430,857</w:t>
            </w:r>
          </w:p>
        </w:tc>
        <w:tc>
          <w:tcPr>
            <w:tcW w:w="1261" w:type="dxa"/>
            <w:vAlign w:val="center"/>
          </w:tcPr>
          <w:p w:rsidR="009B6938" w:rsidRPr="00534E56" w:rsidRDefault="009B6938" w:rsidP="00EE726E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 w:rsidRPr="00534E56">
              <w:rPr>
                <w:b/>
                <w:sz w:val="24"/>
                <w:szCs w:val="24"/>
              </w:rPr>
              <w:t>115963,537</w:t>
            </w:r>
          </w:p>
        </w:tc>
        <w:tc>
          <w:tcPr>
            <w:tcW w:w="1146" w:type="dxa"/>
            <w:vAlign w:val="center"/>
          </w:tcPr>
          <w:p w:rsidR="009B6938" w:rsidRPr="007F6164" w:rsidRDefault="009B6938" w:rsidP="00EE726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7F6164">
              <w:rPr>
                <w:b/>
                <w:sz w:val="24"/>
                <w:szCs w:val="24"/>
                <w:lang w:val="en-US"/>
              </w:rPr>
              <w:t>29198</w:t>
            </w:r>
            <w:r w:rsidRPr="007F61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</w:tcPr>
          <w:p w:rsidR="009B6938" w:rsidRPr="00CA53FA" w:rsidRDefault="009B6938" w:rsidP="00EE726E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B6938" w:rsidRPr="00A87315" w:rsidRDefault="009B6938" w:rsidP="009B6938">
      <w:pPr>
        <w:pStyle w:val="a3"/>
        <w:jc w:val="both"/>
        <w:rPr>
          <w:sz w:val="16"/>
          <w:szCs w:val="16"/>
        </w:rPr>
      </w:pPr>
    </w:p>
    <w:p w:rsidR="009B6938" w:rsidRPr="00496AB5" w:rsidRDefault="009B6938" w:rsidP="009B6938">
      <w:pPr>
        <w:pStyle w:val="a3"/>
        <w:ind w:left="0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9B6938" w:rsidRPr="00D2380C" w:rsidRDefault="009B6938" w:rsidP="009B6938">
      <w:pPr>
        <w:rPr>
          <w:szCs w:val="28"/>
        </w:rPr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  <w:r>
        <w:rPr>
          <w:rFonts w:cs="Tahoma"/>
          <w:sz w:val="16"/>
          <w:szCs w:val="16"/>
        </w:rPr>
        <w:t>»</w:t>
      </w:r>
    </w:p>
    <w:p w:rsidR="005A36B7" w:rsidRDefault="00DA2494"/>
    <w:sectPr w:rsidR="005A36B7" w:rsidSect="009B6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C0"/>
    <w:multiLevelType w:val="multilevel"/>
    <w:tmpl w:val="3E603F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725E0B"/>
    <w:multiLevelType w:val="multilevel"/>
    <w:tmpl w:val="273A1F6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397447A7"/>
    <w:multiLevelType w:val="multilevel"/>
    <w:tmpl w:val="7B3077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72462E9C"/>
    <w:multiLevelType w:val="multilevel"/>
    <w:tmpl w:val="6A34DDB4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693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B6938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2908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17F10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2494"/>
    <w:rsid w:val="00DA352C"/>
    <w:rsid w:val="00DA3935"/>
    <w:rsid w:val="00DA6320"/>
    <w:rsid w:val="00DB11BA"/>
    <w:rsid w:val="00DB4E7E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6187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93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9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9B6938"/>
    <w:pPr>
      <w:ind w:left="720"/>
      <w:contextualSpacing/>
    </w:pPr>
  </w:style>
  <w:style w:type="character" w:customStyle="1" w:styleId="a4">
    <w:name w:val="Цветовое выделение"/>
    <w:uiPriority w:val="99"/>
    <w:rsid w:val="009B6938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B69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9B693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9B6938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1584</Words>
  <Characters>9029</Characters>
  <Application>Microsoft Office Word</Application>
  <DocSecurity>0</DocSecurity>
  <Lines>75</Lines>
  <Paragraphs>21</Paragraphs>
  <ScaleCrop>false</ScaleCrop>
  <Company>Microsoft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2017-12-27T12:07:00Z</dcterms:created>
  <dcterms:modified xsi:type="dcterms:W3CDTF">2017-12-27T12:26:00Z</dcterms:modified>
</cp:coreProperties>
</file>