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4A0"/>
      </w:tblPr>
      <w:tblGrid>
        <w:gridCol w:w="4500"/>
        <w:gridCol w:w="1879"/>
        <w:gridCol w:w="3161"/>
      </w:tblGrid>
      <w:tr w:rsidR="00F9069C" w:rsidTr="00F9069C">
        <w:tc>
          <w:tcPr>
            <w:tcW w:w="4500" w:type="dxa"/>
          </w:tcPr>
          <w:p w:rsidR="00F9069C" w:rsidRDefault="00F9069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F9069C" w:rsidRDefault="00F9069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</w:t>
            </w:r>
          </w:p>
          <w:p w:rsidR="00F9069C" w:rsidRDefault="00F9069C">
            <w:pPr>
              <w:ind w:left="34"/>
              <w:jc w:val="center"/>
            </w:pPr>
          </w:p>
          <w:p w:rsidR="00F9069C" w:rsidRDefault="00F9069C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F9069C" w:rsidRDefault="00F9069C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городского округа Кинель</w:t>
            </w:r>
          </w:p>
          <w:p w:rsidR="00F9069C" w:rsidRDefault="00F9069C">
            <w:pPr>
              <w:ind w:left="34"/>
              <w:jc w:val="center"/>
              <w:rPr>
                <w:sz w:val="18"/>
              </w:rPr>
            </w:pPr>
          </w:p>
          <w:p w:rsidR="00F9069C" w:rsidRDefault="00F9069C">
            <w:pPr>
              <w:ind w:left="34"/>
              <w:jc w:val="center"/>
              <w:rPr>
                <w:sz w:val="18"/>
              </w:rPr>
            </w:pPr>
          </w:p>
          <w:p w:rsidR="00F9069C" w:rsidRDefault="00F9069C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9C" w:rsidRDefault="00F9069C">
            <w:pPr>
              <w:ind w:left="34"/>
              <w:jc w:val="center"/>
            </w:pPr>
          </w:p>
          <w:p w:rsidR="00F9069C" w:rsidRDefault="00F9069C">
            <w:pPr>
              <w:ind w:left="34"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 </w:t>
            </w:r>
            <w:r>
              <w:rPr>
                <w:szCs w:val="28"/>
              </w:rPr>
              <w:t>№______</w:t>
            </w:r>
          </w:p>
          <w:p w:rsidR="00F9069C" w:rsidRDefault="00F9069C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5040" w:type="dxa"/>
            <w:gridSpan w:val="2"/>
            <w:hideMark/>
          </w:tcPr>
          <w:p w:rsidR="00F9069C" w:rsidRDefault="00F9069C">
            <w:pPr>
              <w:jc w:val="right"/>
            </w:pPr>
            <w:r>
              <w:t>ПРОЕКТ</w:t>
            </w:r>
          </w:p>
        </w:tc>
      </w:tr>
      <w:tr w:rsidR="00F9069C" w:rsidTr="00F9069C">
        <w:trPr>
          <w:gridAfter w:val="1"/>
          <w:wAfter w:w="3161" w:type="dxa"/>
          <w:trHeight w:val="375"/>
        </w:trPr>
        <w:tc>
          <w:tcPr>
            <w:tcW w:w="6379" w:type="dxa"/>
            <w:gridSpan w:val="2"/>
            <w:hideMark/>
          </w:tcPr>
          <w:p w:rsidR="00F9069C" w:rsidRDefault="00F9069C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Самарской области от 30.09.2013 № 2879 (с изменениями от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31.01.2014, от 07.07.2014, от 29.07.2014, от 02.09.2014, от 22.09.2014, от 24.10.2014, от 08.12.2014, от 09.02.2015, от 06.04.2015, от 02.06.2015, от 15.07.2015, от 04.09.2015, от 29.10.2015, от 31.12.2015)</w:t>
            </w:r>
            <w:proofErr w:type="gramEnd"/>
          </w:p>
        </w:tc>
      </w:tr>
    </w:tbl>
    <w:p w:rsidR="00F9069C" w:rsidRDefault="00F9069C" w:rsidP="00F9069C">
      <w:pPr>
        <w:pStyle w:val="3"/>
        <w:shd w:val="clear" w:color="auto" w:fill="auto"/>
        <w:spacing w:before="0" w:after="0" w:line="240" w:lineRule="auto"/>
        <w:ind w:right="20" w:firstLine="680"/>
        <w:rPr>
          <w:rFonts w:eastAsia="Calibri"/>
          <w:spacing w:val="0"/>
          <w:sz w:val="28"/>
          <w:szCs w:val="28"/>
        </w:rPr>
      </w:pPr>
    </w:p>
    <w:p w:rsidR="00F9069C" w:rsidRDefault="00F9069C" w:rsidP="00F9069C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Думы городского округа Кинель Самарской области от 17.12.2015г. № 48 «О бюджете городского округа Кинель самарской области на 2016 год и на плановый период 2017 и 2018 годов», решением Думы городского округа Кинель Самарской области от 15.12.2016 № 214 «О бюджете городского округа Кинель Самарской области на 2017 год и на плановые период 2018 и 2019 годов</w:t>
      </w:r>
      <w:proofErr w:type="gramEnd"/>
      <w:r>
        <w:rPr>
          <w:sz w:val="28"/>
          <w:szCs w:val="28"/>
        </w:rPr>
        <w:t>», постановления администрации городского округа Кинель Самарской области от 07.03.2014 № 710 «Об 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 Самарской области»</w:t>
      </w:r>
      <w:r>
        <w:rPr>
          <w:spacing w:val="0"/>
          <w:sz w:val="28"/>
          <w:szCs w:val="28"/>
        </w:rPr>
        <w:t>,</w:t>
      </w:r>
    </w:p>
    <w:p w:rsidR="00F9069C" w:rsidRDefault="00F9069C" w:rsidP="00F9069C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F9069C" w:rsidRDefault="00F9069C" w:rsidP="00F9069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в муниципальную программу городского округа Кинель Самарской области по повышению безопасности дорожного движения на </w:t>
      </w:r>
      <w:r>
        <w:rPr>
          <w:szCs w:val="28"/>
        </w:rPr>
        <w:lastRenderedPageBreak/>
        <w:t>2014-2018 годы, утвержденную постановлением администрации городского округа Кинель Самарской области от 30.09.2013 № 2879 (с изменениями от</w:t>
      </w:r>
      <w:r>
        <w:rPr>
          <w:szCs w:val="28"/>
          <w:lang w:val="en-US"/>
        </w:rPr>
        <w:t> </w:t>
      </w:r>
      <w:r>
        <w:rPr>
          <w:szCs w:val="28"/>
        </w:rPr>
        <w:t>31.01.2014, от 07.07.2014, от 29.07.2014, от 02.09.2014, от 22.09.2014, от 24.10.2014, от 08.12.2014, от 09.02.2015, от 06.04.2015, от 02.06.2015, от 15.07.2015, от 04.09.2015, от 29.10.2015, от 31.12.2015), следующие изменения:</w:t>
      </w:r>
      <w:proofErr w:type="gramEnd"/>
    </w:p>
    <w:p w:rsidR="00F9069C" w:rsidRDefault="00F9069C" w:rsidP="00F9069C">
      <w:pPr>
        <w:pStyle w:val="a9"/>
        <w:numPr>
          <w:ilvl w:val="1"/>
          <w:numId w:val="4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t xml:space="preserve">Пункт 3 изложить в новой редакции: «3. </w:t>
      </w:r>
      <w:proofErr w:type="gramStart"/>
      <w:r>
        <w:t>Контроль за</w:t>
      </w:r>
      <w:proofErr w:type="gramEnd"/>
      <w:r>
        <w:t xml:space="preserve"> исполнением муниципальной программы возложить на заместителя Главы городского округа Кинель по ЖКХ (Федотов С.Н.)».</w:t>
      </w:r>
    </w:p>
    <w:p w:rsidR="00F9069C" w:rsidRDefault="00F9069C" w:rsidP="00F9069C">
      <w:pPr>
        <w:pStyle w:val="a9"/>
        <w:numPr>
          <w:ilvl w:val="1"/>
          <w:numId w:val="4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 xml:space="preserve">В Приложении № 1 к постановлению: </w:t>
      </w:r>
    </w:p>
    <w:p w:rsidR="00F9069C" w:rsidRDefault="00F9069C" w:rsidP="00F9069C">
      <w:pPr>
        <w:pStyle w:val="a9"/>
        <w:numPr>
          <w:ilvl w:val="2"/>
          <w:numId w:val="4"/>
        </w:numPr>
        <w:tabs>
          <w:tab w:val="left" w:pos="1080"/>
          <w:tab w:val="left" w:pos="1276"/>
          <w:tab w:val="left" w:pos="1701"/>
        </w:tabs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Паспорт муниципальной программы, р</w:t>
      </w:r>
      <w:r>
        <w:rPr>
          <w:rStyle w:val="ad"/>
          <w:b w:val="0"/>
          <w:bCs/>
          <w:color w:val="auto"/>
          <w:szCs w:val="28"/>
        </w:rPr>
        <w:t>азделы 2, 5, 6 и 7</w:t>
      </w:r>
      <w:r>
        <w:rPr>
          <w:rStyle w:val="ad"/>
          <w:bCs/>
          <w:color w:val="auto"/>
          <w:szCs w:val="28"/>
        </w:rPr>
        <w:t xml:space="preserve"> </w:t>
      </w:r>
      <w:r>
        <w:rPr>
          <w:szCs w:val="28"/>
        </w:rPr>
        <w:t>изложить в новой редакции согласно приложению № 1.</w:t>
      </w:r>
    </w:p>
    <w:p w:rsidR="00F9069C" w:rsidRDefault="00F9069C" w:rsidP="00F9069C">
      <w:pPr>
        <w:pStyle w:val="a9"/>
        <w:numPr>
          <w:ilvl w:val="1"/>
          <w:numId w:val="4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Приложение № 1 к муниципальной программе изложить в новой редакции согласно приложению № 2.</w:t>
      </w:r>
    </w:p>
    <w:p w:rsidR="00F9069C" w:rsidRDefault="00F9069C" w:rsidP="00F9069C">
      <w:pPr>
        <w:pStyle w:val="a9"/>
        <w:numPr>
          <w:ilvl w:val="1"/>
          <w:numId w:val="4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Дополнить муниципальную программу приложением № 3 «Методика оценки эффективности реализации муниципальной программы» согласно приложению № 3.</w:t>
      </w:r>
    </w:p>
    <w:p w:rsidR="00F9069C" w:rsidRDefault="00F9069C" w:rsidP="00F9069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«Информация».</w:t>
      </w:r>
    </w:p>
    <w:p w:rsidR="00F9069C" w:rsidRDefault="00F9069C" w:rsidP="00F9069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F9069C" w:rsidRDefault="00F9069C" w:rsidP="00F9069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по ЖКХ (Федотов С.Н.).</w:t>
      </w: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  <w:r>
        <w:rPr>
          <w:szCs w:val="28"/>
        </w:rPr>
        <w:t xml:space="preserve">Глава городского округа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jc w:val="both"/>
      </w:pPr>
      <w:r>
        <w:rPr>
          <w:szCs w:val="28"/>
        </w:rPr>
        <w:t>Савичева 63561</w:t>
      </w:r>
    </w:p>
    <w:tbl>
      <w:tblPr>
        <w:tblW w:w="9747" w:type="dxa"/>
        <w:tblLook w:val="01E0"/>
      </w:tblPr>
      <w:tblGrid>
        <w:gridCol w:w="3794"/>
        <w:gridCol w:w="5953"/>
      </w:tblGrid>
      <w:tr w:rsidR="00F9069C" w:rsidTr="00F9069C">
        <w:tc>
          <w:tcPr>
            <w:tcW w:w="3794" w:type="dxa"/>
          </w:tcPr>
          <w:p w:rsidR="00F9069C" w:rsidRDefault="00F906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1</w:t>
            </w:r>
          </w:p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      </w:t>
            </w:r>
            <w:r>
              <w:rPr>
                <w:szCs w:val="28"/>
              </w:rPr>
              <w:t>№________</w:t>
            </w:r>
          </w:p>
          <w:p w:rsidR="00F9069C" w:rsidRDefault="00F9069C">
            <w:pPr>
              <w:jc w:val="both"/>
              <w:rPr>
                <w:szCs w:val="28"/>
              </w:rPr>
            </w:pPr>
          </w:p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«Приложение № 1 </w:t>
            </w:r>
          </w:p>
          <w:p w:rsidR="00F9069C" w:rsidRDefault="00F9069C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 постановлению администрации городского округа Кинель Самарской области от 30.09.2013 № 2879 (с изменениями от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31.01.2014 №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283, от 07.07.2014 № 2138, от 29.07.2014 № 2365, от 02.09.2014 № 2761, от 22.09.2014 № 2954, от 24.10.2014 № 3350, от 08.12.2014 № 3908, от 09.02.2015 № 529, от 06.04.2015 № 1265, от 02.06.2015 № 1787, от 15.07.2015 № 2185, от 04.09.2015 № 2777, от 29.10.2015 № 3402, от 31.12.2015 № 4131)»</w:t>
            </w:r>
            <w:proofErr w:type="gramEnd"/>
          </w:p>
        </w:tc>
      </w:tr>
    </w:tbl>
    <w:p w:rsidR="00F9069C" w:rsidRDefault="00F9069C" w:rsidP="00F9069C">
      <w:pPr>
        <w:jc w:val="both"/>
      </w:pPr>
    </w:p>
    <w:p w:rsidR="00F9069C" w:rsidRDefault="00F9069C" w:rsidP="00F9069C">
      <w:pPr>
        <w:jc w:val="center"/>
        <w:rPr>
          <w:b/>
          <w:szCs w:val="28"/>
        </w:rPr>
      </w:pPr>
      <w:r>
        <w:rPr>
          <w:b/>
          <w:szCs w:val="28"/>
        </w:rPr>
        <w:t xml:space="preserve">ПАСПОРТ </w:t>
      </w:r>
    </w:p>
    <w:p w:rsidR="00F9069C" w:rsidRDefault="00F9069C" w:rsidP="00F9069C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ГОРОДСКОГО ОКРУГА КИНЕЛЬ САМАРСКОЙ ОБЛАСТИ</w:t>
      </w:r>
    </w:p>
    <w:p w:rsidR="00F9069C" w:rsidRDefault="00F9069C" w:rsidP="00F9069C">
      <w:pPr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1"/>
        <w:gridCol w:w="519"/>
        <w:gridCol w:w="6739"/>
      </w:tblGrid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Cs w:val="28"/>
              </w:rPr>
            </w:pPr>
            <w:r>
              <w:rPr>
                <w:rStyle w:val="ad"/>
                <w:bCs/>
                <w:color w:val="auto"/>
                <w:szCs w:val="28"/>
              </w:rPr>
              <w:t>Наименование муниципальной программы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Муниципальная программа городского округа Кинель Самарской области по повышению безопасности дорожного движения на 2014-2018 годы (далее – муниципальная программа)</w:t>
            </w:r>
          </w:p>
        </w:tc>
      </w:tr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bCs/>
                <w:szCs w:val="28"/>
              </w:rPr>
            </w:pPr>
            <w:r>
              <w:rPr>
                <w:rStyle w:val="ad"/>
                <w:bCs/>
                <w:color w:val="auto"/>
                <w:szCs w:val="28"/>
              </w:rPr>
              <w:t>Дата утверждения решения о разработке муниципальной программы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Решение Думы городского округа Кинель от 29 мая 2008 года № 495</w:t>
            </w:r>
          </w:p>
        </w:tc>
      </w:tr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/>
              <w:rPr>
                <w:szCs w:val="28"/>
              </w:rPr>
            </w:pPr>
            <w:r>
              <w:rPr>
                <w:rStyle w:val="ad"/>
                <w:bCs/>
                <w:color w:val="auto"/>
                <w:szCs w:val="28"/>
              </w:rPr>
              <w:t>Заказчик муниципальной программы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 w:after="120"/>
              <w:ind w:firstLine="175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городского округа Кинель Самарской области</w:t>
            </w:r>
          </w:p>
        </w:tc>
      </w:tr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/>
              <w:rPr>
                <w:rStyle w:val="ad"/>
                <w:bCs/>
                <w:color w:val="auto"/>
                <w:szCs w:val="28"/>
              </w:rPr>
            </w:pPr>
            <w:r>
              <w:rPr>
                <w:rStyle w:val="ad"/>
                <w:bCs/>
                <w:color w:val="auto"/>
                <w:szCs w:val="28"/>
              </w:rPr>
              <w:t>Разработчик муниципальной программы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 w:after="120"/>
              <w:ind w:firstLine="175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городского округа Кинель Самарской области</w:t>
            </w:r>
          </w:p>
        </w:tc>
      </w:tr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/>
              <w:rPr>
                <w:rStyle w:val="ad"/>
                <w:bCs/>
                <w:color w:val="auto"/>
                <w:szCs w:val="28"/>
              </w:rPr>
            </w:pPr>
            <w:r>
              <w:rPr>
                <w:rStyle w:val="ad"/>
                <w:bCs/>
                <w:color w:val="auto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 w:after="120"/>
              <w:ind w:firstLine="175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городского округа Кинель Самарской области</w:t>
            </w:r>
          </w:p>
        </w:tc>
      </w:tr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firstLine="6"/>
              <w:jc w:val="left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</w:pPr>
            <w:r>
              <w:rPr>
                <w:rStyle w:val="a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Цели и задачи муниципальной </w:t>
            </w:r>
            <w:r>
              <w:rPr>
                <w:rStyle w:val="a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spacing w:before="120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охраны жизни, здоровья граждан и их имущества, гарантий их законных прав на безопасные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движения на дорогах городского округа Кинель:</w:t>
            </w:r>
          </w:p>
          <w:p w:rsidR="00F9069C" w:rsidRDefault="00F9069C">
            <w:pPr>
              <w:ind w:firstLine="186"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безопасного передвижения по дорогам городского округа Кинель;</w:t>
            </w:r>
          </w:p>
          <w:p w:rsidR="00F9069C" w:rsidRDefault="00F9069C">
            <w:pPr>
              <w:ind w:firstLine="186"/>
              <w:jc w:val="both"/>
              <w:rPr>
                <w:szCs w:val="28"/>
              </w:rPr>
            </w:pPr>
            <w:r>
              <w:rPr>
                <w:szCs w:val="28"/>
              </w:rPr>
              <w:t>оптимизация режимов движения на участках улично-дорожной сети с использованием технических средств организации дорожного движения и автоматизированных систем управления движением;</w:t>
            </w:r>
          </w:p>
          <w:p w:rsidR="00F9069C" w:rsidRDefault="00F9069C">
            <w:pPr>
              <w:ind w:firstLine="18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совершенствование системы мер по предупреждению детского дорожно-транспортного травматизма; </w:t>
            </w:r>
          </w:p>
          <w:p w:rsidR="00F9069C" w:rsidRDefault="00F9069C">
            <w:pPr>
              <w:ind w:firstLine="328"/>
              <w:jc w:val="both"/>
              <w:rPr>
                <w:szCs w:val="28"/>
              </w:rPr>
            </w:pPr>
            <w:r>
              <w:rPr>
                <w:szCs w:val="28"/>
              </w:rPr>
              <w:t>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F9069C" w:rsidRDefault="00F9069C">
            <w:pPr>
              <w:ind w:firstLine="328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тарифам.</w:t>
            </w:r>
          </w:p>
        </w:tc>
      </w:tr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Cs w:val="28"/>
              </w:rPr>
            </w:pPr>
            <w:r>
              <w:rPr>
                <w:rStyle w:val="ad"/>
                <w:bCs/>
                <w:color w:val="auto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 1 января 2014 года, окончание: 31 декабря 2018 года.</w:t>
            </w:r>
          </w:p>
        </w:tc>
      </w:tr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Cs w:val="28"/>
              </w:rPr>
            </w:pPr>
            <w:r>
              <w:rPr>
                <w:rStyle w:val="ad"/>
                <w:bCs/>
                <w:color w:val="auto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/>
              <w:ind w:firstLine="2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Снижение количества ДТП с пострадавшими с аналогичным показателем за 2012 год; </w:t>
            </w:r>
          </w:p>
          <w:p w:rsidR="00F9069C" w:rsidRDefault="00F9069C">
            <w:pPr>
              <w:ind w:firstLine="210"/>
              <w:jc w:val="both"/>
              <w:rPr>
                <w:szCs w:val="28"/>
              </w:rPr>
            </w:pPr>
            <w:r>
              <w:rPr>
                <w:szCs w:val="28"/>
              </w:rPr>
              <w:t>снижение количества ДТП с участием пешеходов с аналогичным показателем за 2012 год;</w:t>
            </w:r>
          </w:p>
          <w:p w:rsidR="00F9069C" w:rsidRDefault="00F9069C">
            <w:pPr>
              <w:ind w:firstLine="210"/>
              <w:jc w:val="both"/>
              <w:rPr>
                <w:color w:val="0070C0"/>
                <w:szCs w:val="28"/>
              </w:rPr>
            </w:pPr>
            <w:r>
              <w:rPr>
                <w:szCs w:val="28"/>
              </w:rPr>
              <w:t>оснащение улично-дорожной сети техническими средствами организации дорожного движения</w:t>
            </w:r>
          </w:p>
        </w:tc>
      </w:tr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spacing w:before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Муниципальная программа не содержит подпрограмм</w:t>
            </w:r>
          </w:p>
        </w:tc>
      </w:tr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spacing w:before="120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осуществляется за счет средств городского бюджета, в том числе с учетом формируемых за счет поступающих в соответствии с действующим законодательством в городской бюджет субсидий из областного бюджета, в пределах лимитов бюджетных обязательств по реализации мероприятий муниципальной программы, предусматриваемых на соответствующий финансовый год соответствующим главным распорядителем средств городского бюджета в установленном порядке.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муниципальной программы составляет 309580,256 тыс. рублей:</w:t>
            </w:r>
          </w:p>
          <w:p w:rsidR="00F9069C" w:rsidRDefault="00F9069C">
            <w:pPr>
              <w:ind w:firstLine="284"/>
              <w:jc w:val="both"/>
              <w:rPr>
                <w:rStyle w:val="ad"/>
                <w:b w:val="0"/>
                <w:bCs/>
                <w:color w:val="auto"/>
              </w:rPr>
            </w:pPr>
            <w:r>
              <w:rPr>
                <w:szCs w:val="28"/>
              </w:rPr>
              <w:lastRenderedPageBreak/>
              <w:t xml:space="preserve">- </w:t>
            </w:r>
            <w:r>
              <w:rPr>
                <w:rStyle w:val="ad"/>
                <w:b w:val="0"/>
                <w:bCs/>
                <w:color w:val="auto"/>
                <w:szCs w:val="28"/>
              </w:rPr>
              <w:t xml:space="preserve">2014 год – </w:t>
            </w:r>
            <w:r>
              <w:rPr>
                <w:szCs w:val="28"/>
              </w:rPr>
              <w:t>39608,717 тыс. рублей;</w:t>
            </w:r>
          </w:p>
          <w:p w:rsidR="00F9069C" w:rsidRDefault="00F9069C">
            <w:pPr>
              <w:ind w:firstLine="284"/>
              <w:jc w:val="both"/>
              <w:rPr>
                <w:rStyle w:val="ad"/>
                <w:b w:val="0"/>
                <w:bCs/>
                <w:color w:val="auto"/>
                <w:szCs w:val="28"/>
              </w:rPr>
            </w:pPr>
            <w:r>
              <w:rPr>
                <w:rStyle w:val="ad"/>
                <w:b w:val="0"/>
                <w:bCs/>
                <w:color w:val="auto"/>
                <w:szCs w:val="28"/>
              </w:rPr>
              <w:t xml:space="preserve">- 2015 год – </w:t>
            </w:r>
            <w:r>
              <w:rPr>
                <w:szCs w:val="28"/>
              </w:rPr>
              <w:t>75189,682 тыс. рублей</w:t>
            </w:r>
            <w:r>
              <w:rPr>
                <w:rStyle w:val="ad"/>
                <w:b w:val="0"/>
                <w:bCs/>
                <w:color w:val="auto"/>
                <w:szCs w:val="28"/>
              </w:rPr>
              <w:t>;</w:t>
            </w:r>
          </w:p>
          <w:p w:rsidR="00F9069C" w:rsidRDefault="00F9069C">
            <w:pPr>
              <w:ind w:firstLine="284"/>
              <w:jc w:val="both"/>
            </w:pPr>
            <w:r>
              <w:rPr>
                <w:rStyle w:val="ad"/>
                <w:b w:val="0"/>
                <w:bCs/>
                <w:color w:val="auto"/>
                <w:szCs w:val="28"/>
              </w:rPr>
              <w:t xml:space="preserve">- 2016 год – </w:t>
            </w:r>
            <w:r>
              <w:rPr>
                <w:rStyle w:val="ad"/>
                <w:b w:val="0"/>
                <w:color w:val="auto"/>
                <w:szCs w:val="28"/>
              </w:rPr>
              <w:t xml:space="preserve">120430.857 </w:t>
            </w:r>
            <w:r>
              <w:rPr>
                <w:szCs w:val="28"/>
              </w:rPr>
              <w:t>тыс. рублей</w:t>
            </w:r>
            <w:r>
              <w:rPr>
                <w:rStyle w:val="ad"/>
                <w:b w:val="0"/>
                <w:bCs/>
                <w:color w:val="auto"/>
                <w:szCs w:val="28"/>
              </w:rPr>
              <w:t>;</w:t>
            </w:r>
          </w:p>
          <w:p w:rsidR="00F9069C" w:rsidRDefault="00F9069C">
            <w:pPr>
              <w:ind w:firstLine="284"/>
              <w:jc w:val="both"/>
              <w:rPr>
                <w:szCs w:val="28"/>
              </w:rPr>
            </w:pPr>
            <w:r>
              <w:rPr>
                <w:rStyle w:val="ad"/>
                <w:b w:val="0"/>
                <w:bCs/>
                <w:color w:val="auto"/>
                <w:szCs w:val="28"/>
              </w:rPr>
              <w:t xml:space="preserve">- 2017 год – </w:t>
            </w:r>
            <w:r>
              <w:rPr>
                <w:rStyle w:val="ad"/>
                <w:b w:val="0"/>
                <w:color w:val="auto"/>
                <w:szCs w:val="28"/>
              </w:rPr>
              <w:t xml:space="preserve">45153,0 </w:t>
            </w:r>
            <w:r>
              <w:rPr>
                <w:szCs w:val="28"/>
              </w:rPr>
              <w:t>тыс. рублей</w:t>
            </w:r>
            <w:r>
              <w:rPr>
                <w:rStyle w:val="ad"/>
                <w:b w:val="0"/>
                <w:bCs/>
                <w:color w:val="auto"/>
                <w:szCs w:val="28"/>
              </w:rPr>
              <w:t>;</w:t>
            </w:r>
          </w:p>
          <w:p w:rsidR="00F9069C" w:rsidRDefault="00F9069C">
            <w:pPr>
              <w:ind w:firstLine="284"/>
              <w:jc w:val="both"/>
              <w:rPr>
                <w:szCs w:val="28"/>
              </w:rPr>
            </w:pPr>
            <w:r>
              <w:rPr>
                <w:rStyle w:val="ad"/>
                <w:b w:val="0"/>
                <w:bCs/>
                <w:color w:val="auto"/>
                <w:szCs w:val="28"/>
              </w:rPr>
              <w:t>- 2018 год - 29198,0</w:t>
            </w:r>
            <w:r>
              <w:rPr>
                <w:szCs w:val="28"/>
              </w:rPr>
              <w:t xml:space="preserve"> тыс. рублей</w:t>
            </w:r>
            <w:r>
              <w:rPr>
                <w:rStyle w:val="ad"/>
                <w:b w:val="0"/>
                <w:bCs/>
                <w:szCs w:val="28"/>
              </w:rPr>
              <w:t>.</w:t>
            </w:r>
          </w:p>
        </w:tc>
      </w:tr>
      <w:tr w:rsidR="00F9069C" w:rsidTr="00F9069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Cs w:val="28"/>
              </w:rPr>
            </w:pPr>
            <w:r>
              <w:rPr>
                <w:rStyle w:val="ad"/>
                <w:bCs/>
                <w:color w:val="auto"/>
                <w:szCs w:val="28"/>
              </w:rPr>
              <w:lastRenderedPageBreak/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spacing w:before="120" w:after="120"/>
              <w:ind w:firstLine="256"/>
              <w:jc w:val="both"/>
              <w:rPr>
                <w:szCs w:val="28"/>
              </w:rPr>
            </w:pPr>
            <w:r>
              <w:rPr>
                <w:szCs w:val="28"/>
              </w:rPr>
              <w:t>Отношение степени достижения основных целевых показателей (индикаторов) муниципальной программы к уровню ее финансирования</w:t>
            </w:r>
          </w:p>
        </w:tc>
      </w:tr>
    </w:tbl>
    <w:p w:rsidR="00F9069C" w:rsidRDefault="00F9069C" w:rsidP="00F9069C">
      <w:pPr>
        <w:pStyle w:val="1"/>
        <w:keepNext w:val="0"/>
        <w:spacing w:line="240" w:lineRule="auto"/>
        <w:ind w:firstLine="0"/>
        <w:rPr>
          <w:b w:val="0"/>
          <w:sz w:val="28"/>
          <w:szCs w:val="28"/>
        </w:rPr>
      </w:pPr>
    </w:p>
    <w:p w:rsidR="00F9069C" w:rsidRDefault="00F9069C" w:rsidP="00F9069C">
      <w:pPr>
        <w:pStyle w:val="1"/>
        <w:keepNext w:val="0"/>
        <w:numPr>
          <w:ilvl w:val="0"/>
          <w:numId w:val="4"/>
        </w:numPr>
        <w:spacing w:after="240" w:line="240" w:lineRule="auto"/>
        <w:ind w:left="448" w:hanging="448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и задачи муниципальной программы, сроки и этапы ее реализации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2.1. Целью муниципальной программы является обеспечение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2.2. Достижение цели муниципальной программы обеспечивается за счет решения следующих задач: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2.2.1. создание системы профилактических мер, направленных на формирование у участников дорожного движения законопослушного поведения; 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2.2.2. создание условий безопасного передвижения по дорогам городского округа Кинель;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2.2.3. оптимизация режимов движения на участках улично-дорожной сети с использованием технических средств организации дорожного движения и автоматизированных систем управления движением;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2.2.4. совершенствование системы мер по предупреждению детского дорожно-транспортного травматизма; 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2.2.5. создание системы профилактических мер, направленных на формирование у участников дорожного движения законопослушного поведения.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2.2.6. 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тарифам. 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2.3. Муниципальная программа реализуется </w:t>
      </w:r>
      <w:proofErr w:type="spellStart"/>
      <w:r>
        <w:rPr>
          <w:szCs w:val="28"/>
        </w:rPr>
        <w:t>одноэтапно</w:t>
      </w:r>
      <w:proofErr w:type="spellEnd"/>
      <w:r>
        <w:rPr>
          <w:szCs w:val="28"/>
        </w:rPr>
        <w:t xml:space="preserve"> с 2014 по 2018 год. Начало реализации муниципальной программы - 1 января 2014 года, окончание - 31 декабря 2018 года. </w:t>
      </w:r>
    </w:p>
    <w:p w:rsidR="00F9069C" w:rsidRDefault="00F9069C" w:rsidP="00F9069C">
      <w:pPr>
        <w:pStyle w:val="1"/>
        <w:keepNext w:val="0"/>
        <w:spacing w:before="240" w:after="240"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5. Обоснование ресурсного обеспечения муниципальной программы</w:t>
      </w:r>
    </w:p>
    <w:p w:rsidR="00F9069C" w:rsidRDefault="00F9069C" w:rsidP="00F9069C">
      <w:pPr>
        <w:pStyle w:val="a9"/>
        <w:numPr>
          <w:ilvl w:val="1"/>
          <w:numId w:val="6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За счет средств городского бюджета объем финансирования Программы составляет 209164.142 тыс. рублей, в том числе:</w:t>
      </w:r>
    </w:p>
    <w:p w:rsidR="00F9069C" w:rsidRDefault="00F9069C" w:rsidP="00F9069C">
      <w:pPr>
        <w:spacing w:line="360" w:lineRule="auto"/>
        <w:ind w:firstLine="709"/>
        <w:jc w:val="both"/>
        <w:rPr>
          <w:rStyle w:val="ad"/>
          <w:b w:val="0"/>
          <w:bCs/>
          <w:color w:val="auto"/>
        </w:rPr>
      </w:pPr>
      <w:bookmarkStart w:id="0" w:name="sub_504"/>
      <w:r>
        <w:rPr>
          <w:szCs w:val="28"/>
        </w:rPr>
        <w:t xml:space="preserve">- в </w:t>
      </w:r>
      <w:r>
        <w:rPr>
          <w:rStyle w:val="ad"/>
          <w:b w:val="0"/>
          <w:bCs/>
          <w:color w:val="auto"/>
          <w:szCs w:val="28"/>
        </w:rPr>
        <w:t xml:space="preserve">2014 году - </w:t>
      </w:r>
      <w:r>
        <w:rPr>
          <w:szCs w:val="28"/>
        </w:rPr>
        <w:t>16321,794тыс. рублей;</w:t>
      </w:r>
    </w:p>
    <w:p w:rsidR="00F9069C" w:rsidRDefault="00F9069C" w:rsidP="00F9069C">
      <w:pPr>
        <w:spacing w:line="360" w:lineRule="auto"/>
        <w:ind w:firstLine="709"/>
        <w:jc w:val="both"/>
        <w:rPr>
          <w:rStyle w:val="ad"/>
          <w:b w:val="0"/>
          <w:bCs/>
          <w:color w:val="auto"/>
          <w:szCs w:val="28"/>
        </w:rPr>
      </w:pPr>
      <w:r>
        <w:rPr>
          <w:rStyle w:val="ad"/>
          <w:b w:val="0"/>
          <w:bCs/>
          <w:color w:val="auto"/>
          <w:szCs w:val="28"/>
        </w:rPr>
        <w:t xml:space="preserve">- в 2015 году - </w:t>
      </w:r>
      <w:r>
        <w:rPr>
          <w:szCs w:val="28"/>
        </w:rPr>
        <w:t>39861,509 тыс. рублей</w:t>
      </w:r>
      <w:r>
        <w:rPr>
          <w:rStyle w:val="ad"/>
          <w:b w:val="0"/>
          <w:bCs/>
          <w:color w:val="auto"/>
          <w:szCs w:val="28"/>
        </w:rPr>
        <w:t>;</w:t>
      </w:r>
    </w:p>
    <w:p w:rsidR="00F9069C" w:rsidRDefault="00F9069C" w:rsidP="00F9069C">
      <w:pPr>
        <w:spacing w:line="360" w:lineRule="auto"/>
        <w:ind w:firstLine="709"/>
        <w:jc w:val="both"/>
      </w:pPr>
      <w:r>
        <w:rPr>
          <w:rStyle w:val="ad"/>
          <w:b w:val="0"/>
          <w:bCs/>
          <w:color w:val="auto"/>
          <w:szCs w:val="28"/>
        </w:rPr>
        <w:t xml:space="preserve">- в 2016 году - </w:t>
      </w:r>
      <w:r>
        <w:rPr>
          <w:rStyle w:val="ad"/>
          <w:b w:val="0"/>
          <w:color w:val="auto"/>
          <w:szCs w:val="28"/>
        </w:rPr>
        <w:t xml:space="preserve">78629,839 </w:t>
      </w:r>
      <w:r>
        <w:rPr>
          <w:szCs w:val="28"/>
        </w:rPr>
        <w:t>тыс. рублей</w:t>
      </w:r>
      <w:r>
        <w:rPr>
          <w:rStyle w:val="ad"/>
          <w:b w:val="0"/>
          <w:bCs/>
          <w:color w:val="auto"/>
          <w:szCs w:val="28"/>
        </w:rPr>
        <w:t>;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rStyle w:val="ad"/>
          <w:b w:val="0"/>
          <w:bCs/>
          <w:color w:val="auto"/>
          <w:szCs w:val="28"/>
        </w:rPr>
        <w:t xml:space="preserve">- в 2017 году - </w:t>
      </w:r>
      <w:r>
        <w:rPr>
          <w:rStyle w:val="ad"/>
          <w:b w:val="0"/>
          <w:color w:val="auto"/>
          <w:szCs w:val="28"/>
        </w:rPr>
        <w:t xml:space="preserve">45153,0 </w:t>
      </w:r>
      <w:r>
        <w:rPr>
          <w:szCs w:val="28"/>
        </w:rPr>
        <w:t>тыс. рублей</w:t>
      </w:r>
      <w:r>
        <w:rPr>
          <w:rStyle w:val="ad"/>
          <w:b w:val="0"/>
          <w:bCs/>
          <w:color w:val="auto"/>
          <w:szCs w:val="28"/>
        </w:rPr>
        <w:t>;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rStyle w:val="ad"/>
          <w:b w:val="0"/>
          <w:bCs/>
          <w:color w:val="auto"/>
          <w:szCs w:val="28"/>
        </w:rPr>
        <w:t xml:space="preserve">- в 2018 году - </w:t>
      </w:r>
      <w:r>
        <w:rPr>
          <w:rStyle w:val="ad"/>
          <w:b w:val="0"/>
          <w:bCs/>
          <w:color w:val="auto"/>
          <w:szCs w:val="28"/>
          <w:lang w:val="en-US"/>
        </w:rPr>
        <w:t>29198</w:t>
      </w:r>
      <w:r>
        <w:rPr>
          <w:rStyle w:val="ad"/>
          <w:b w:val="0"/>
          <w:bCs/>
          <w:color w:val="auto"/>
          <w:szCs w:val="28"/>
        </w:rPr>
        <w:t>,0</w:t>
      </w:r>
      <w:r>
        <w:rPr>
          <w:szCs w:val="28"/>
        </w:rPr>
        <w:t xml:space="preserve"> тыс. рублей</w:t>
      </w:r>
      <w:r>
        <w:rPr>
          <w:rStyle w:val="ad"/>
          <w:b w:val="0"/>
          <w:bCs/>
          <w:color w:val="auto"/>
          <w:szCs w:val="28"/>
        </w:rPr>
        <w:t>.</w:t>
      </w:r>
    </w:p>
    <w:p w:rsidR="00F9069C" w:rsidRDefault="00F9069C" w:rsidP="00F9069C">
      <w:pPr>
        <w:pStyle w:val="a9"/>
        <w:numPr>
          <w:ilvl w:val="1"/>
          <w:numId w:val="6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За счет поступающих в соответствии с действующим законодательством в городской бюджет субсидий из областного бюджета</w:t>
      </w:r>
      <w:proofErr w:type="gramEnd"/>
      <w:r>
        <w:rPr>
          <w:szCs w:val="28"/>
        </w:rPr>
        <w:t xml:space="preserve"> финансирования муниципальной программы составляет 100416,114 тыс. рублей, в том числе: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2014 году - 23286,923 тыс. рублей,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2015 году - 35328,173 тыс. рублей,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2016 году – 41801,018 тыс. рублей,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2017 году - 0 тыс. рублей,</w:t>
      </w:r>
    </w:p>
    <w:p w:rsidR="00F9069C" w:rsidRDefault="00F9069C" w:rsidP="00F906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2018 году - 0 тыс. рублей.</w:t>
      </w:r>
    </w:p>
    <w:bookmarkEnd w:id="0"/>
    <w:p w:rsidR="00F9069C" w:rsidRDefault="00F9069C" w:rsidP="00F9069C">
      <w:pPr>
        <w:pStyle w:val="a9"/>
        <w:numPr>
          <w:ilvl w:val="1"/>
          <w:numId w:val="6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Распределение средств городского и субсидий из областного бюджетов на реализацию мероприятий муниципальной программы по исполнителям муниципальной программы представлено в таблице </w:t>
      </w:r>
      <w:hyperlink r:id="rId5" w:anchor="sub_10" w:history="1">
        <w:r>
          <w:rPr>
            <w:rStyle w:val="ae"/>
            <w:b w:val="0"/>
            <w:bCs/>
            <w:color w:val="auto"/>
            <w:szCs w:val="28"/>
          </w:rPr>
          <w:t>3</w:t>
        </w:r>
      </w:hyperlink>
      <w:r>
        <w:rPr>
          <w:szCs w:val="28"/>
        </w:rPr>
        <w:t>.</w:t>
      </w:r>
    </w:p>
    <w:p w:rsidR="00F9069C" w:rsidRDefault="00F9069C" w:rsidP="00F9069C">
      <w:pPr>
        <w:pStyle w:val="a9"/>
        <w:tabs>
          <w:tab w:val="left" w:pos="1276"/>
        </w:tabs>
        <w:spacing w:line="360" w:lineRule="auto"/>
        <w:jc w:val="both"/>
        <w:rPr>
          <w:szCs w:val="28"/>
        </w:rPr>
      </w:pPr>
    </w:p>
    <w:p w:rsidR="00F9069C" w:rsidRDefault="00F9069C" w:rsidP="00F9069C">
      <w:pPr>
        <w:pStyle w:val="a9"/>
        <w:tabs>
          <w:tab w:val="left" w:pos="1276"/>
        </w:tabs>
        <w:spacing w:line="360" w:lineRule="auto"/>
        <w:jc w:val="both"/>
        <w:rPr>
          <w:szCs w:val="28"/>
        </w:rPr>
      </w:pPr>
    </w:p>
    <w:p w:rsidR="00F9069C" w:rsidRDefault="00F9069C" w:rsidP="00F9069C">
      <w:pPr>
        <w:ind w:firstLine="698"/>
        <w:jc w:val="right"/>
        <w:rPr>
          <w:rStyle w:val="ad"/>
          <w:b w:val="0"/>
          <w:bCs/>
          <w:color w:val="auto"/>
          <w:szCs w:val="24"/>
        </w:rPr>
      </w:pPr>
    </w:p>
    <w:p w:rsidR="00F9069C" w:rsidRDefault="00F9069C" w:rsidP="00F9069C">
      <w:pPr>
        <w:ind w:firstLine="698"/>
        <w:jc w:val="right"/>
        <w:rPr>
          <w:b/>
          <w:sz w:val="24"/>
        </w:rPr>
      </w:pPr>
      <w:r>
        <w:rPr>
          <w:rStyle w:val="ad"/>
          <w:b w:val="0"/>
          <w:bCs/>
          <w:color w:val="auto"/>
          <w:szCs w:val="24"/>
        </w:rPr>
        <w:lastRenderedPageBreak/>
        <w:t>Таблица 3.</w:t>
      </w:r>
    </w:p>
    <w:p w:rsidR="00F9069C" w:rsidRDefault="00F9069C" w:rsidP="00F9069C">
      <w:pPr>
        <w:jc w:val="center"/>
        <w:rPr>
          <w:b/>
          <w:szCs w:val="28"/>
        </w:rPr>
      </w:pPr>
      <w:r>
        <w:rPr>
          <w:b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9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417"/>
        <w:gridCol w:w="1276"/>
        <w:gridCol w:w="1275"/>
        <w:gridCol w:w="1276"/>
        <w:gridCol w:w="1276"/>
        <w:gridCol w:w="1275"/>
      </w:tblGrid>
      <w:tr w:rsidR="00F9069C" w:rsidTr="00F906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про-граммных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мероприя-тий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F9069C" w:rsidTr="00F9069C"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9C" w:rsidTr="00F9069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ЖКХ» городского округа Кинель»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F9069C" w:rsidTr="00F9069C">
        <w:trPr>
          <w:trHeight w:val="556"/>
        </w:trPr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76629.071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16321,794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39861,509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18445,768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F9069C" w:rsidTr="00F9069C"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из областного бюджета</w:t>
            </w:r>
          </w:p>
        </w:tc>
      </w:tr>
      <w:tr w:rsidR="00F9069C" w:rsidTr="00F9069C">
        <w:trPr>
          <w:trHeight w:val="609"/>
        </w:trPr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58615,096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23286,923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35328,173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69C" w:rsidTr="00F9069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«Служба благоустройства и содержания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 Кинель»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F9069C" w:rsidTr="00F9069C">
        <w:trPr>
          <w:trHeight w:val="658"/>
        </w:trPr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14764.725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7591,725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1670.0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5503.0</w:t>
            </w:r>
          </w:p>
        </w:tc>
      </w:tr>
      <w:tr w:rsidR="00F9069C" w:rsidTr="00F9069C">
        <w:trPr>
          <w:trHeight w:val="270"/>
        </w:trPr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из областного бюджета</w:t>
            </w:r>
          </w:p>
        </w:tc>
      </w:tr>
      <w:tr w:rsidR="00F9069C" w:rsidTr="00F9069C"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69C" w:rsidTr="00F9069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архитек-туры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градостро-ительства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админист-рации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 Кинель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F9069C" w:rsidTr="00F9069C">
        <w:trPr>
          <w:trHeight w:val="954"/>
        </w:trPr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105777.346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52592,346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36627.0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16558.0</w:t>
            </w:r>
          </w:p>
        </w:tc>
      </w:tr>
      <w:tr w:rsidR="00F9069C" w:rsidTr="00F9069C">
        <w:trPr>
          <w:trHeight w:val="270"/>
        </w:trPr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из областного бюджета</w:t>
            </w:r>
          </w:p>
        </w:tc>
      </w:tr>
      <w:tr w:rsidR="00F9069C" w:rsidTr="00F9069C"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41801,018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41801,018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069C" w:rsidTr="00F9069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Админист-рация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г.о.Кинель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F9069C" w:rsidTr="00F9069C">
        <w:trPr>
          <w:trHeight w:val="954"/>
        </w:trPr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11993.0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5856.0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6137.0</w:t>
            </w:r>
          </w:p>
        </w:tc>
      </w:tr>
      <w:tr w:rsidR="00F9069C" w:rsidTr="00F9069C">
        <w:trPr>
          <w:trHeight w:val="270"/>
        </w:trPr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из областного бюджета</w:t>
            </w:r>
          </w:p>
        </w:tc>
      </w:tr>
      <w:tr w:rsidR="00F9069C" w:rsidTr="00F9069C">
        <w:tc>
          <w:tcPr>
            <w:tcW w:w="9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a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9069C" w:rsidRDefault="00F9069C" w:rsidP="00F9069C">
      <w:pPr>
        <w:rPr>
          <w:szCs w:val="28"/>
        </w:rPr>
      </w:pPr>
    </w:p>
    <w:p w:rsidR="00F9069C" w:rsidRDefault="00F9069C" w:rsidP="00F9069C">
      <w:pPr>
        <w:pStyle w:val="1"/>
        <w:keepNext w:val="0"/>
        <w:numPr>
          <w:ilvl w:val="0"/>
          <w:numId w:val="8"/>
        </w:numPr>
        <w:spacing w:before="120" w:after="240" w:line="240" w:lineRule="auto"/>
        <w:ind w:left="924" w:hanging="357"/>
        <w:jc w:val="center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</w:t>
      </w:r>
    </w:p>
    <w:p w:rsidR="00F9069C" w:rsidRDefault="00F9069C" w:rsidP="00F9069C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 xml:space="preserve">Ответственный исполнитель муниципальной программы осуществляет координацию и мониторинг хода ее выполнения, определяет формы и методы организации управления реализацией муниципальной программы. По мере необходимости уточняет состав исполнителей, вид мероприятий и перераспределения финансирования в пределах </w:t>
      </w:r>
      <w:r>
        <w:rPr>
          <w:szCs w:val="28"/>
        </w:rPr>
        <w:lastRenderedPageBreak/>
        <w:t>муниципальной программы. Вносит в установленном порядке предложения по финансированию муниципальной программы на рассмотрение Думы городского округа Кинель Самарской области.</w:t>
      </w:r>
    </w:p>
    <w:p w:rsidR="00F9069C" w:rsidRDefault="00F9069C" w:rsidP="00F9069C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F9069C" w:rsidRDefault="00F9069C" w:rsidP="00F9069C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:rsidR="00F9069C" w:rsidRDefault="00F9069C" w:rsidP="00F9069C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ходом реализации муниципальной программы осуществляется на основании отчетов об исполнении муниципальных программ, в соответствии с порядком принятия решений о разработке, формирования и реализации, оценки эффективности реализации муниципальных программ городского округа Кинель.</w:t>
      </w:r>
    </w:p>
    <w:p w:rsidR="00F9069C" w:rsidRDefault="00F9069C" w:rsidP="00F9069C">
      <w:pPr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t>Исполнители мероприятий муниципальной программы несут ответственность за качественную и своевременную реализацию мероприятий, рациональное использование выделяемых средств. В срок до 10 февраля года представляет информацию об исполнении мероприятий муниципальной программы ответственному исполнителю муниципальной программы.</w:t>
      </w:r>
    </w:p>
    <w:p w:rsidR="00F9069C" w:rsidRDefault="00F9069C" w:rsidP="00F9069C">
      <w:pPr>
        <w:pStyle w:val="1"/>
        <w:keepNext w:val="0"/>
        <w:numPr>
          <w:ilvl w:val="0"/>
          <w:numId w:val="8"/>
        </w:numPr>
        <w:spacing w:before="240" w:after="240" w:line="240" w:lineRule="auto"/>
        <w:ind w:left="924" w:hanging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социально-экономической эффективности реализации муниципальной программы </w:t>
      </w:r>
    </w:p>
    <w:p w:rsidR="00F9069C" w:rsidRDefault="00F9069C" w:rsidP="00F9069C">
      <w:pPr>
        <w:pStyle w:val="1"/>
        <w:keepNext w:val="0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По предварительным оценкам, реализация мероприятий муниципальной программы должна привести к следующим изменениям в социально-экономической сфере городского округа Кинель Самарской области:</w:t>
      </w:r>
    </w:p>
    <w:p w:rsidR="00F9069C" w:rsidRDefault="00F9069C" w:rsidP="00F9069C">
      <w:pPr>
        <w:pStyle w:val="1"/>
        <w:keepNext w:val="0"/>
        <w:numPr>
          <w:ilvl w:val="2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повышение уровня оснащенности улично-дорожной сети техническими средствами организации дорожного движения согласно дислокации технических средств организации дорожного движения;</w:t>
      </w:r>
    </w:p>
    <w:p w:rsidR="00F9069C" w:rsidRDefault="00F9069C" w:rsidP="00F9069C">
      <w:pPr>
        <w:pStyle w:val="1"/>
        <w:keepNext w:val="0"/>
        <w:numPr>
          <w:ilvl w:val="2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снижение детского дорожно-транспортного травматизма среди несовершеннолетних;</w:t>
      </w:r>
    </w:p>
    <w:p w:rsidR="00F9069C" w:rsidRDefault="00F9069C" w:rsidP="00F9069C">
      <w:pPr>
        <w:pStyle w:val="1"/>
        <w:keepNext w:val="0"/>
        <w:numPr>
          <w:ilvl w:val="2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повышение у участников дорожного движения законопослушного поведения. </w:t>
      </w:r>
    </w:p>
    <w:p w:rsidR="00F9069C" w:rsidRDefault="00F9069C" w:rsidP="00F9069C">
      <w:pPr>
        <w:pStyle w:val="1"/>
        <w:keepNext w:val="0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 </w:t>
      </w:r>
      <w:proofErr w:type="gramStart"/>
      <w:r>
        <w:rPr>
          <w:b w:val="0"/>
          <w:sz w:val="28"/>
          <w:szCs w:val="28"/>
        </w:rPr>
        <w:t>проведения оценки эффективности реализации муниципальной программы городского округа</w:t>
      </w:r>
      <w:proofErr w:type="gramEnd"/>
      <w:r>
        <w:rPr>
          <w:b w:val="0"/>
          <w:sz w:val="28"/>
          <w:szCs w:val="28"/>
        </w:rPr>
        <w:t xml:space="preserve"> Кинель, согласно приложению № 3 к муниципальной программе городского округа Кинель Самарской области по повышению безопасности дорожного движения на 2014-2018 годы.</w:t>
      </w: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  <w:sectPr w:rsidR="00F9069C">
          <w:pgSz w:w="11906" w:h="16838"/>
          <w:pgMar w:top="1276" w:right="707" w:bottom="993" w:left="1701" w:header="708" w:footer="708" w:gutter="0"/>
          <w:cols w:space="720"/>
        </w:sectPr>
      </w:pPr>
    </w:p>
    <w:tbl>
      <w:tblPr>
        <w:tblW w:w="15276" w:type="dxa"/>
        <w:tblLook w:val="01E0"/>
      </w:tblPr>
      <w:tblGrid>
        <w:gridCol w:w="8188"/>
        <w:gridCol w:w="7088"/>
      </w:tblGrid>
      <w:tr w:rsidR="00F9069C" w:rsidTr="00F9069C">
        <w:tc>
          <w:tcPr>
            <w:tcW w:w="8188" w:type="dxa"/>
          </w:tcPr>
          <w:p w:rsidR="00F9069C" w:rsidRDefault="00F9069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2</w:t>
            </w:r>
          </w:p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      </w:t>
            </w:r>
            <w:r>
              <w:rPr>
                <w:szCs w:val="28"/>
              </w:rPr>
              <w:t>№________</w:t>
            </w:r>
          </w:p>
          <w:p w:rsidR="00F9069C" w:rsidRDefault="00F9069C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9069C" w:rsidRDefault="00F9069C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F9069C" w:rsidRDefault="00F9069C">
            <w:pPr>
              <w:ind w:left="34"/>
              <w:jc w:val="center"/>
              <w:rPr>
                <w:sz w:val="24"/>
                <w:szCs w:val="24"/>
                <w:u w:val="single"/>
              </w:rPr>
            </w:pPr>
            <w:r>
              <w:rPr>
                <w:szCs w:val="28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>
              <w:rPr>
                <w:szCs w:val="28"/>
                <w:u w:val="single"/>
              </w:rPr>
              <w:t>(</w:t>
            </w:r>
            <w:r>
              <w:rPr>
                <w:szCs w:val="28"/>
              </w:rPr>
              <w:t>в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редакции постановлений администрации городского округа от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31.01.2014, от 07.07.2014, от 29.07.2014, от 02.09.2014,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> 22.09.2014, от 24.10.2014, от 08.12.2014, от 09.02.2015, от 06.04.2015, от 02.06.2015, от 15.07.2015, от 04.09.2015, от 29.10.2015, от 31.12.2015)</w:t>
            </w:r>
          </w:p>
        </w:tc>
      </w:tr>
    </w:tbl>
    <w:p w:rsidR="00F9069C" w:rsidRDefault="00F9069C" w:rsidP="00F9069C">
      <w:pPr>
        <w:pStyle w:val="1"/>
        <w:spacing w:line="240" w:lineRule="auto"/>
        <w:jc w:val="center"/>
        <w:rPr>
          <w:szCs w:val="24"/>
        </w:rPr>
      </w:pPr>
    </w:p>
    <w:p w:rsidR="00F9069C" w:rsidRDefault="00F9069C" w:rsidP="00F9069C">
      <w:pPr>
        <w:pStyle w:val="1"/>
        <w:spacing w:line="240" w:lineRule="auto"/>
        <w:jc w:val="center"/>
        <w:rPr>
          <w:szCs w:val="24"/>
        </w:rPr>
      </w:pPr>
      <w:r>
        <w:rPr>
          <w:szCs w:val="24"/>
        </w:rPr>
        <w:t>Перечень программных мероприятий</w:t>
      </w:r>
    </w:p>
    <w:p w:rsidR="00F9069C" w:rsidRDefault="00F9069C" w:rsidP="00F9069C">
      <w:pPr>
        <w:pStyle w:val="a9"/>
        <w:jc w:val="both"/>
        <w:rPr>
          <w:sz w:val="24"/>
          <w:szCs w:val="24"/>
        </w:rPr>
      </w:pPr>
    </w:p>
    <w:tbl>
      <w:tblPr>
        <w:tblW w:w="16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5"/>
        <w:gridCol w:w="3850"/>
        <w:gridCol w:w="847"/>
        <w:gridCol w:w="1563"/>
        <w:gridCol w:w="1563"/>
        <w:gridCol w:w="1434"/>
        <w:gridCol w:w="1290"/>
        <w:gridCol w:w="1134"/>
        <w:gridCol w:w="1146"/>
        <w:gridCol w:w="2703"/>
      </w:tblGrid>
      <w:tr w:rsidR="00F9069C" w:rsidTr="00F9069C">
        <w:trPr>
          <w:tblHeader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8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F9069C" w:rsidTr="00F9069C">
        <w:trPr>
          <w:tblHeader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</w:tr>
      <w:tr w:rsidR="00F9069C" w:rsidTr="00F9069C">
        <w:tc>
          <w:tcPr>
            <w:tcW w:w="1618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тематики безопасности дорожного движения в СМИ: газетах «Кинельская жизнь», «Неделя Кинеля», на сайте городского округа Кинель (по предоставлению информации </w:t>
            </w:r>
            <w:r>
              <w:rPr>
                <w:sz w:val="24"/>
                <w:szCs w:val="24"/>
              </w:rPr>
              <w:lastRenderedPageBreak/>
              <w:t>ОГИБДД МО МВД России «Кинельский»)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2014 - 2018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округа Кинель Самарской области 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</w:tr>
      <w:tr w:rsidR="00F9069C" w:rsidTr="00F9069C">
        <w:tc>
          <w:tcPr>
            <w:tcW w:w="1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F9069C" w:rsidTr="00F9069C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автодорог, тротуаров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30865.286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7111,273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городского округа Кинель Самарской области «Управление жилищно-коммунального хозяйства» (далее МБУ «Управление ЖКХ»)</w:t>
            </w:r>
          </w:p>
        </w:tc>
      </w:tr>
      <w:tr w:rsidR="00F9069C" w:rsidTr="00F906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11989,413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9000.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Самарской </w:t>
            </w:r>
            <w:r>
              <w:rPr>
                <w:sz w:val="24"/>
                <w:szCs w:val="24"/>
              </w:rPr>
              <w:lastRenderedPageBreak/>
              <w:t>области (далее – Управление архитектуры и градостроительства)</w:t>
            </w:r>
          </w:p>
        </w:tc>
      </w:tr>
      <w:tr w:rsidR="00F9069C" w:rsidTr="00F9069C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1092.92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511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9069C" w:rsidTr="00F9069C">
        <w:trPr>
          <w:trHeight w:val="339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автодорог, тротуаров (софинансирование)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rPr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3910,336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1845,236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</w:tr>
      <w:tr w:rsidR="00F9069C" w:rsidTr="00F9069C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</w:tr>
      <w:tr w:rsidR="00F9069C" w:rsidTr="00F906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58615,096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23286,923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35328,173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</w:tr>
      <w:tr w:rsidR="00F9069C" w:rsidTr="00F9069C">
        <w:trPr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9069C" w:rsidTr="00F9069C">
        <w:trPr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6785,0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3189,0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1596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</w:tr>
      <w:tr w:rsidR="00F9069C" w:rsidTr="00F9069C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ind w:left="9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</w:tr>
      <w:tr w:rsidR="00F9069C" w:rsidTr="00F906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41801,018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41801,018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20209.881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4127,706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8702,775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сборно-разборных конструкций искусственных дорожных неровностей на </w:t>
            </w:r>
            <w:r>
              <w:rPr>
                <w:sz w:val="24"/>
                <w:szCs w:val="24"/>
              </w:rPr>
              <w:lastRenderedPageBreak/>
              <w:t>проезжей части автодорог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2014 -2015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</w:t>
            </w: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щебня и природной песчано-гравийной смеси для дорожных работ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6989.44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210.0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грунтовых дорог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12862</w:t>
            </w:r>
            <w:r>
              <w:rPr>
                <w:sz w:val="24"/>
                <w:szCs w:val="24"/>
                <w:lang w:val="en-US"/>
              </w:rPr>
              <w:t>.625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974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2016 - 2018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7591,725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«Служба благоустройства и содержания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 Кинель» (далее - МБУ «СБСК»)</w:t>
            </w:r>
          </w:p>
        </w:tc>
      </w:tr>
      <w:tr w:rsidR="00F9069C" w:rsidTr="00F9069C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proofErr w:type="spellStart"/>
            <w:r>
              <w:rPr>
                <w:sz w:val="24"/>
                <w:szCs w:val="24"/>
              </w:rPr>
              <w:t>7</w:t>
            </w:r>
            <w:proofErr w:type="spellEnd"/>
            <w:r>
              <w:rPr>
                <w:sz w:val="24"/>
                <w:szCs w:val="24"/>
                <w:lang w:val="en-US"/>
              </w:rPr>
              <w:t>67.928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1392,576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2017 - 2018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1670.0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3493,0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F9069C" w:rsidTr="00F9069C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03.61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«Управление ЖКХ»</w:t>
            </w:r>
          </w:p>
        </w:tc>
      </w:tr>
      <w:tr w:rsidR="00F9069C" w:rsidTr="00F906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2017 - 2018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810,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F9069C" w:rsidTr="00F9069C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дорожных (пешеходных) ограждений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2936,19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1914,17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722,02*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9C" w:rsidRDefault="00F9069C">
            <w:pPr>
              <w:rPr>
                <w:sz w:val="24"/>
                <w:szCs w:val="24"/>
              </w:rPr>
            </w:pPr>
          </w:p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 «СБСК»</w:t>
            </w:r>
          </w:p>
          <w:p w:rsidR="00F9069C" w:rsidRDefault="00F9069C">
            <w:pPr>
              <w:rPr>
                <w:sz w:val="24"/>
                <w:szCs w:val="24"/>
              </w:rPr>
            </w:pP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мостовых сооружений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152.403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rPr>
          <w:trHeight w:val="73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светофорных объектов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2086.244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,244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539,0**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rPr>
          <w:trHeight w:val="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9069C" w:rsidTr="00F9069C">
        <w:trPr>
          <w:trHeight w:val="7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29525.839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20560,839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8965.0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9069C" w:rsidTr="00F9069C">
        <w:trPr>
          <w:trHeight w:val="73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-2015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rPr>
          <w:trHeight w:val="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pStyle w:val="a9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 w:right="3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1000.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1000.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«Управление ЖКХ»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34223</w:t>
            </w:r>
            <w:r>
              <w:rPr>
                <w:b/>
                <w:sz w:val="24"/>
                <w:szCs w:val="24"/>
              </w:rPr>
              <w:t>,946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39608,717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59630,466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 w:right="34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102550,763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24335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8099.0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</w:tr>
      <w:tr w:rsidR="00F9069C" w:rsidTr="00F9069C">
        <w:tc>
          <w:tcPr>
            <w:tcW w:w="1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Муниципальный дорожный фонд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gramEnd"/>
          </w:p>
        </w:tc>
      </w:tr>
      <w:tr w:rsidR="00F9069C" w:rsidTr="00F9069C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2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63363.31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15559,216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«Управление ЖКХ» </w:t>
            </w:r>
          </w:p>
        </w:tc>
      </w:tr>
      <w:tr w:rsidR="00F9069C" w:rsidTr="00F906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2016 - </w:t>
            </w:r>
            <w:r>
              <w:rPr>
                <w:sz w:val="24"/>
                <w:szCs w:val="24"/>
                <w:lang w:val="en-US"/>
              </w:rPr>
              <w:lastRenderedPageBreak/>
              <w:t>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17880,094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14962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14962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F9069C" w:rsidTr="00F9069C">
        <w:trPr>
          <w:trHeight w:val="5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63363.31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15559,216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17880,094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14962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14962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</w:tr>
      <w:tr w:rsidR="00F9069C" w:rsidTr="00F9069C">
        <w:tc>
          <w:tcPr>
            <w:tcW w:w="1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Профилактика детского дорожно-транспортного травматизма.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pStyle w:val="a9"/>
              <w:numPr>
                <w:ilvl w:val="1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F9069C" w:rsidRDefault="00F90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ДМО «Альянс молодых»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</w:tr>
      <w:tr w:rsidR="00F9069C" w:rsidTr="00F9069C">
        <w:tc>
          <w:tcPr>
            <w:tcW w:w="1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11993,0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5856,0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6137,0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11993,0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 w:right="-108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5856,0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6137,0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</w:tr>
      <w:tr w:rsidR="00F9069C" w:rsidTr="00F9069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9C" w:rsidRDefault="00F90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  <w:lang w:val="en-US"/>
              </w:rPr>
              <w:t>9580</w:t>
            </w:r>
            <w:r>
              <w:rPr>
                <w:b/>
                <w:sz w:val="24"/>
                <w:szCs w:val="24"/>
              </w:rPr>
              <w:t>,256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 w:right="-108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39608,717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75189,682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120430,857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45153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9C" w:rsidRDefault="00F906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29198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9C" w:rsidRDefault="00F9069C">
            <w:pPr>
              <w:rPr>
                <w:b/>
                <w:sz w:val="24"/>
                <w:szCs w:val="24"/>
              </w:rPr>
            </w:pPr>
          </w:p>
        </w:tc>
      </w:tr>
    </w:tbl>
    <w:p w:rsidR="00F9069C" w:rsidRDefault="00F9069C" w:rsidP="00F9069C">
      <w:pPr>
        <w:pStyle w:val="a9"/>
        <w:jc w:val="both"/>
        <w:rPr>
          <w:sz w:val="16"/>
          <w:szCs w:val="16"/>
        </w:rPr>
      </w:pPr>
    </w:p>
    <w:p w:rsidR="00F9069C" w:rsidRDefault="00F9069C" w:rsidP="00F9069C">
      <w:pPr>
        <w:pStyle w:val="a9"/>
        <w:jc w:val="both"/>
        <w:rPr>
          <w:sz w:val="16"/>
          <w:szCs w:val="16"/>
        </w:rPr>
      </w:pPr>
    </w:p>
    <w:p w:rsidR="00F9069C" w:rsidRDefault="00F9069C" w:rsidP="00F9069C">
      <w:pPr>
        <w:pStyle w:val="a9"/>
        <w:ind w:left="0"/>
        <w:jc w:val="both"/>
        <w:rPr>
          <w:rFonts w:cs="Tahoma"/>
          <w:sz w:val="16"/>
          <w:szCs w:val="16"/>
        </w:rPr>
      </w:pPr>
      <w:r>
        <w:rPr>
          <w:sz w:val="16"/>
          <w:szCs w:val="16"/>
        </w:rPr>
        <w:t xml:space="preserve">*Сумма заложена на установку </w:t>
      </w:r>
      <w:r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F9069C" w:rsidRDefault="00F9069C" w:rsidP="00F9069C">
      <w:pPr>
        <w:rPr>
          <w:rFonts w:cs="Tahoma"/>
          <w:sz w:val="16"/>
          <w:szCs w:val="16"/>
        </w:rPr>
      </w:pPr>
      <w:r>
        <w:rPr>
          <w:sz w:val="16"/>
          <w:szCs w:val="16"/>
        </w:rPr>
        <w:t xml:space="preserve">**Сумма заложена на установку </w:t>
      </w:r>
      <w:r>
        <w:rPr>
          <w:rFonts w:cs="Tahoma"/>
          <w:sz w:val="16"/>
          <w:szCs w:val="16"/>
        </w:rPr>
        <w:t>светофорных объектов, приобретенных в 2014 году</w:t>
      </w:r>
    </w:p>
    <w:p w:rsidR="00F9069C" w:rsidRDefault="00F9069C" w:rsidP="00F9069C">
      <w:pPr>
        <w:rPr>
          <w:szCs w:val="28"/>
        </w:rPr>
        <w:sectPr w:rsidR="00F9069C">
          <w:pgSz w:w="16838" w:h="11906" w:orient="landscape"/>
          <w:pgMar w:top="1701" w:right="1276" w:bottom="707" w:left="709" w:header="708" w:footer="708" w:gutter="0"/>
          <w:cols w:space="720"/>
        </w:sectPr>
      </w:pPr>
    </w:p>
    <w:tbl>
      <w:tblPr>
        <w:tblW w:w="9747" w:type="dxa"/>
        <w:tblLook w:val="01E0"/>
      </w:tblPr>
      <w:tblGrid>
        <w:gridCol w:w="4077"/>
        <w:gridCol w:w="5670"/>
      </w:tblGrid>
      <w:tr w:rsidR="00F9069C" w:rsidTr="00F9069C">
        <w:tc>
          <w:tcPr>
            <w:tcW w:w="4077" w:type="dxa"/>
          </w:tcPr>
          <w:p w:rsidR="00F9069C" w:rsidRDefault="00F9069C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 3</w:t>
            </w:r>
          </w:p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      </w:t>
            </w:r>
            <w:r>
              <w:rPr>
                <w:szCs w:val="28"/>
              </w:rPr>
              <w:t>№________</w:t>
            </w:r>
          </w:p>
          <w:p w:rsidR="00F9069C" w:rsidRDefault="00F9069C">
            <w:pPr>
              <w:spacing w:after="120"/>
              <w:jc w:val="center"/>
              <w:rPr>
                <w:szCs w:val="28"/>
              </w:rPr>
            </w:pPr>
          </w:p>
          <w:p w:rsidR="00F9069C" w:rsidRDefault="00F9069C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F9069C" w:rsidRDefault="00F906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>
              <w:rPr>
                <w:szCs w:val="28"/>
                <w:u w:val="single"/>
              </w:rPr>
              <w:t>(</w:t>
            </w:r>
            <w:r>
              <w:rPr>
                <w:szCs w:val="28"/>
              </w:rPr>
              <w:t>в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редакции постановлений администрации городского округа от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31.01.2014, от 07.07.2014, от 29.07.2014, от 02.09.2014,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> 22.09.2014, от 24.10.2014, от 08.12.2014, от 09.02.2015, от 06.04.2015, от 02.06.2015, от 15.07.2015, от 04.09.2015, от 29.10.2015, от 31.12.2015)</w:t>
            </w:r>
          </w:p>
        </w:tc>
      </w:tr>
    </w:tbl>
    <w:p w:rsidR="00F9069C" w:rsidRDefault="00F9069C" w:rsidP="00F9069C">
      <w:pPr>
        <w:autoSpaceDE w:val="0"/>
        <w:autoSpaceDN w:val="0"/>
        <w:adjustRightInd w:val="0"/>
        <w:jc w:val="center"/>
        <w:rPr>
          <w:szCs w:val="28"/>
        </w:rPr>
      </w:pPr>
    </w:p>
    <w:p w:rsidR="00F9069C" w:rsidRDefault="00F9069C" w:rsidP="00F906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МЕТОДИКА</w:t>
      </w:r>
    </w:p>
    <w:p w:rsidR="00F9069C" w:rsidRDefault="00F9069C" w:rsidP="00F906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ПРОВЕДЕНИЯ ОЦЕНКИ ЭФФЕКТИВНОСТИ РЕАЛИЗАЦИИ</w:t>
      </w:r>
    </w:p>
    <w:p w:rsidR="00F9069C" w:rsidRDefault="00F9069C" w:rsidP="00F906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МУНИЦИПАЛЬНЫХ ПРОГРАММ ГОРОДСКОГО ОКРУГА КИНЕЛЬ</w:t>
      </w:r>
    </w:p>
    <w:p w:rsidR="00F9069C" w:rsidRDefault="00F9069C" w:rsidP="00F9069C">
      <w:pPr>
        <w:autoSpaceDE w:val="0"/>
        <w:autoSpaceDN w:val="0"/>
        <w:adjustRightInd w:val="0"/>
        <w:jc w:val="both"/>
        <w:rPr>
          <w:szCs w:val="28"/>
        </w:rPr>
      </w:pPr>
    </w:p>
    <w:p w:rsidR="00F9069C" w:rsidRDefault="00F9069C" w:rsidP="00F9069C">
      <w:pPr>
        <w:pStyle w:val="a9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результатам.</w:t>
      </w:r>
    </w:p>
    <w:p w:rsidR="00F9069C" w:rsidRDefault="00F9069C" w:rsidP="00F9069C">
      <w:pPr>
        <w:pStyle w:val="a9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 по годам в течение всего срока реализации муниципальной программы.</w:t>
      </w:r>
    </w:p>
    <w:p w:rsidR="00F9069C" w:rsidRDefault="00F9069C" w:rsidP="00F9069C">
      <w:pPr>
        <w:pStyle w:val="a9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Эффективность реализации муниципальной программы оценивается степенью достижения плановых значений показателей (индикаторов) программы.</w:t>
      </w:r>
    </w:p>
    <w:p w:rsidR="00F9069C" w:rsidRDefault="00F9069C" w:rsidP="00F9069C">
      <w:pPr>
        <w:pStyle w:val="a9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Степень достижения показателей (индикаторов) муниципальной программы должны быть представлены по форме, согласно таблице №1.</w:t>
      </w:r>
    </w:p>
    <w:p w:rsidR="00F9069C" w:rsidRDefault="00F9069C" w:rsidP="00F9069C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Таблица №1</w:t>
      </w:r>
    </w:p>
    <w:tbl>
      <w:tblPr>
        <w:tblW w:w="98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1"/>
        <w:gridCol w:w="2236"/>
        <w:gridCol w:w="1450"/>
        <w:gridCol w:w="1831"/>
        <w:gridCol w:w="1801"/>
        <w:gridCol w:w="1921"/>
      </w:tblGrid>
      <w:tr w:rsidR="00F9069C" w:rsidTr="00F9069C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N </w:t>
            </w:r>
          </w:p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индикатора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измерения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Степень</w:t>
            </w:r>
          </w:p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достижения</w:t>
            </w:r>
          </w:p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целевых</w:t>
            </w:r>
          </w:p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индикаторов, %</w:t>
            </w:r>
          </w:p>
        </w:tc>
      </w:tr>
      <w:tr w:rsidR="00F9069C" w:rsidTr="00F9069C">
        <w:trPr>
          <w:trHeight w:val="6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плановые</w:t>
            </w:r>
          </w:p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значения </w:t>
            </w:r>
            <w:proofErr w:type="gramStart"/>
            <w:r>
              <w:rPr>
                <w:szCs w:val="28"/>
              </w:rPr>
              <w:t>по</w:t>
            </w:r>
            <w:proofErr w:type="gramEnd"/>
          </w:p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Программе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фактически</w:t>
            </w:r>
          </w:p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достигнутые</w:t>
            </w:r>
          </w:p>
          <w:p w:rsidR="00F9069C" w:rsidRDefault="00F906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значения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069C" w:rsidRDefault="00F9069C">
            <w:pPr>
              <w:rPr>
                <w:szCs w:val="28"/>
              </w:rPr>
            </w:pPr>
          </w:p>
        </w:tc>
      </w:tr>
      <w:tr w:rsidR="00F9069C" w:rsidTr="00F9069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1 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9069C" w:rsidTr="00F9069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2 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9069C" w:rsidTr="00F9069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69C" w:rsidRDefault="00F906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069C" w:rsidRDefault="00F9069C" w:rsidP="00F9069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F9069C" w:rsidRDefault="00F9069C" w:rsidP="00F9069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F9069C" w:rsidRDefault="00F9069C" w:rsidP="00F9069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F9069C" w:rsidRDefault="00F9069C" w:rsidP="00F9069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F9069C" w:rsidRDefault="00F9069C" w:rsidP="00F9069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Порядок расчета целевых показателей (индикаторов)</w:t>
      </w:r>
    </w:p>
    <w:p w:rsidR="00F9069C" w:rsidRDefault="00F9069C" w:rsidP="00F9069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9069C" w:rsidRDefault="00F9069C" w:rsidP="00F9069C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Cs w:val="28"/>
        </w:rPr>
      </w:pPr>
      <w:r>
        <w:rPr>
          <w:szCs w:val="28"/>
        </w:rPr>
        <w:t>Формула 1</w:t>
      </w:r>
    </w:p>
    <w:p w:rsidR="00F9069C" w:rsidRDefault="00F9069C" w:rsidP="00F9069C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Cs w:val="28"/>
        </w:rPr>
      </w:pPr>
      <w:r>
        <w:rPr>
          <w:b/>
          <w:szCs w:val="28"/>
        </w:rPr>
        <w:t xml:space="preserve">Индикатор = </w:t>
      </w:r>
      <w:proofErr w:type="spellStart"/>
      <w:r>
        <w:rPr>
          <w:b/>
          <w:szCs w:val="28"/>
        </w:rPr>
        <w:t>Тг</w:t>
      </w:r>
      <w:proofErr w:type="spellEnd"/>
      <w:r>
        <w:rPr>
          <w:b/>
          <w:szCs w:val="28"/>
        </w:rPr>
        <w:t xml:space="preserve"> / </w:t>
      </w:r>
      <w:proofErr w:type="spellStart"/>
      <w:r>
        <w:rPr>
          <w:b/>
          <w:szCs w:val="28"/>
        </w:rPr>
        <w:t>Пг</w:t>
      </w:r>
      <w:proofErr w:type="spellEnd"/>
      <w:r>
        <w:rPr>
          <w:b/>
          <w:szCs w:val="28"/>
        </w:rPr>
        <w:t xml:space="preserve"> * 100%</w:t>
      </w:r>
      <w:r>
        <w:rPr>
          <w:szCs w:val="28"/>
        </w:rPr>
        <w:t xml:space="preserve"> = (значение в процентах),</w:t>
      </w:r>
    </w:p>
    <w:p w:rsidR="00F9069C" w:rsidRDefault="00F9069C" w:rsidP="00F9069C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Cs w:val="28"/>
        </w:rPr>
      </w:pPr>
      <w:r>
        <w:rPr>
          <w:szCs w:val="28"/>
        </w:rPr>
        <w:t>Формула 2</w:t>
      </w:r>
    </w:p>
    <w:p w:rsidR="00F9069C" w:rsidRDefault="00F9069C" w:rsidP="00F9069C">
      <w:pPr>
        <w:widowControl w:val="0"/>
        <w:autoSpaceDE w:val="0"/>
        <w:autoSpaceDN w:val="0"/>
        <w:adjustRightInd w:val="0"/>
        <w:spacing w:before="120"/>
        <w:ind w:firstLine="284"/>
        <w:jc w:val="right"/>
        <w:rPr>
          <w:szCs w:val="28"/>
        </w:rPr>
      </w:pPr>
      <w:r>
        <w:rPr>
          <w:b/>
          <w:szCs w:val="28"/>
        </w:rPr>
        <w:t xml:space="preserve">Индикатор = </w:t>
      </w:r>
      <w:proofErr w:type="spellStart"/>
      <w:r>
        <w:rPr>
          <w:b/>
          <w:szCs w:val="28"/>
        </w:rPr>
        <w:t>Пг</w:t>
      </w:r>
      <w:proofErr w:type="spellEnd"/>
      <w:r>
        <w:rPr>
          <w:b/>
          <w:szCs w:val="28"/>
        </w:rPr>
        <w:t xml:space="preserve"> / </w:t>
      </w:r>
      <w:proofErr w:type="spellStart"/>
      <w:r>
        <w:rPr>
          <w:b/>
          <w:szCs w:val="28"/>
        </w:rPr>
        <w:t>Тг</w:t>
      </w:r>
      <w:proofErr w:type="spellEnd"/>
      <w:r>
        <w:rPr>
          <w:b/>
          <w:szCs w:val="28"/>
        </w:rPr>
        <w:t xml:space="preserve"> * 100%</w:t>
      </w:r>
      <w:r>
        <w:rPr>
          <w:szCs w:val="28"/>
        </w:rPr>
        <w:t xml:space="preserve"> = (значение в процентах),</w:t>
      </w:r>
    </w:p>
    <w:p w:rsidR="00F9069C" w:rsidRDefault="00F9069C" w:rsidP="00F9069C">
      <w:pPr>
        <w:widowControl w:val="0"/>
        <w:autoSpaceDE w:val="0"/>
        <w:autoSpaceDN w:val="0"/>
        <w:adjustRightInd w:val="0"/>
        <w:spacing w:before="120"/>
        <w:ind w:firstLine="284"/>
        <w:jc w:val="both"/>
        <w:rPr>
          <w:szCs w:val="28"/>
        </w:rPr>
      </w:pPr>
    </w:p>
    <w:p w:rsidR="00F9069C" w:rsidRDefault="00F9069C" w:rsidP="00F9069C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где:</w:t>
      </w:r>
    </w:p>
    <w:p w:rsidR="00F9069C" w:rsidRDefault="00F9069C" w:rsidP="00F9069C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</w:rPr>
      </w:pPr>
      <w:proofErr w:type="spellStart"/>
      <w:r>
        <w:rPr>
          <w:b/>
          <w:szCs w:val="28"/>
        </w:rPr>
        <w:t>Тг</w:t>
      </w:r>
      <w:proofErr w:type="spellEnd"/>
      <w:r>
        <w:rPr>
          <w:szCs w:val="28"/>
        </w:rPr>
        <w:t xml:space="preserve"> - количественное значение показателя за отчетный период текущего года;</w:t>
      </w:r>
    </w:p>
    <w:p w:rsidR="00F9069C" w:rsidRDefault="00F9069C" w:rsidP="00F9069C">
      <w:pPr>
        <w:ind w:firstLine="284"/>
        <w:rPr>
          <w:szCs w:val="28"/>
        </w:rPr>
      </w:pPr>
      <w:proofErr w:type="spellStart"/>
      <w:r>
        <w:rPr>
          <w:b/>
          <w:szCs w:val="28"/>
        </w:rPr>
        <w:t>Пг</w:t>
      </w:r>
      <w:proofErr w:type="spellEnd"/>
      <w:r>
        <w:rPr>
          <w:szCs w:val="28"/>
        </w:rPr>
        <w:t xml:space="preserve"> - количественное значение показателя за аналогичный период прошлого года.</w:t>
      </w: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F9069C" w:rsidRDefault="00F9069C" w:rsidP="00F9069C">
      <w:pPr>
        <w:rPr>
          <w:szCs w:val="28"/>
        </w:rPr>
      </w:pPr>
    </w:p>
    <w:p w:rsidR="005A36B7" w:rsidRDefault="00F9069C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28C"/>
    <w:multiLevelType w:val="multilevel"/>
    <w:tmpl w:val="414C5FBE"/>
    <w:lvl w:ilvl="0">
      <w:start w:val="6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cs="Times New Roman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cs="Times New Roman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/>
        <w:b w:val="0"/>
        <w:sz w:val="28"/>
      </w:rPr>
    </w:lvl>
  </w:abstractNum>
  <w:abstractNum w:abstractNumId="1">
    <w:nsid w:val="2A276438"/>
    <w:multiLevelType w:val="multilevel"/>
    <w:tmpl w:val="74E4E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>
    <w:nsid w:val="301A15A9"/>
    <w:multiLevelType w:val="multilevel"/>
    <w:tmpl w:val="C468759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>
    <w:nsid w:val="32120D78"/>
    <w:multiLevelType w:val="multilevel"/>
    <w:tmpl w:val="11506E20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4">
    <w:nsid w:val="39203477"/>
    <w:multiLevelType w:val="multilevel"/>
    <w:tmpl w:val="8130A6F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5">
    <w:nsid w:val="44047FA5"/>
    <w:multiLevelType w:val="hybridMultilevel"/>
    <w:tmpl w:val="D1CAEE22"/>
    <w:lvl w:ilvl="0" w:tplc="15F4B87C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444CD"/>
    <w:multiLevelType w:val="multilevel"/>
    <w:tmpl w:val="EF2642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707747AC"/>
    <w:multiLevelType w:val="multilevel"/>
    <w:tmpl w:val="DCA8A9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D34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76D34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0BEE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069C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9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69C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6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0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6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06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06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6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6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9069C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F9069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_"/>
    <w:basedOn w:val="a0"/>
    <w:link w:val="3"/>
    <w:uiPriority w:val="99"/>
    <w:locked/>
    <w:rsid w:val="00F9069C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F9069C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F9069C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9069C"/>
    <w:pPr>
      <w:shd w:val="clear" w:color="auto" w:fill="FFFFFF"/>
      <w:spacing w:line="240" w:lineRule="atLeast"/>
      <w:jc w:val="both"/>
    </w:pPr>
    <w:rPr>
      <w:rFonts w:eastAsiaTheme="minorHAnsi"/>
      <w:spacing w:val="4"/>
      <w:sz w:val="17"/>
      <w:szCs w:val="17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F9069C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9069C"/>
    <w:pPr>
      <w:shd w:val="clear" w:color="auto" w:fill="FFFFFF"/>
      <w:spacing w:line="240" w:lineRule="atLeast"/>
      <w:jc w:val="both"/>
    </w:pPr>
    <w:rPr>
      <w:rFonts w:eastAsiaTheme="minorHAnsi"/>
      <w:spacing w:val="3"/>
      <w:sz w:val="18"/>
      <w:szCs w:val="18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F906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d">
    <w:name w:val="Цветовое выделение"/>
    <w:uiPriority w:val="99"/>
    <w:rsid w:val="00F9069C"/>
    <w:rPr>
      <w:b/>
      <w:bCs w:val="0"/>
      <w:color w:val="000080"/>
    </w:rPr>
  </w:style>
  <w:style w:type="character" w:customStyle="1" w:styleId="3pt">
    <w:name w:val="Основной текст + Интервал 3 pt"/>
    <w:basedOn w:val="ab"/>
    <w:uiPriority w:val="99"/>
    <w:rsid w:val="00F9069C"/>
    <w:rPr>
      <w:spacing w:val="64"/>
    </w:rPr>
  </w:style>
  <w:style w:type="character" w:customStyle="1" w:styleId="11">
    <w:name w:val="Основной текст1"/>
    <w:basedOn w:val="ab"/>
    <w:uiPriority w:val="99"/>
    <w:rsid w:val="00F9069C"/>
    <w:rPr>
      <w:color w:val="44448C"/>
    </w:rPr>
  </w:style>
  <w:style w:type="character" w:customStyle="1" w:styleId="2">
    <w:name w:val="Основной текст2"/>
    <w:basedOn w:val="ab"/>
    <w:uiPriority w:val="99"/>
    <w:rsid w:val="00F9069C"/>
    <w:rPr>
      <w:color w:val="44448C"/>
    </w:rPr>
  </w:style>
  <w:style w:type="character" w:customStyle="1" w:styleId="20">
    <w:name w:val="Основной текст (2)"/>
    <w:basedOn w:val="a0"/>
    <w:uiPriority w:val="99"/>
    <w:rsid w:val="00F9069C"/>
    <w:rPr>
      <w:rFonts w:ascii="Times New Roman" w:hAnsi="Times New Roman" w:cs="Times New Roman" w:hint="default"/>
      <w:spacing w:val="7"/>
      <w:sz w:val="22"/>
      <w:szCs w:val="22"/>
    </w:rPr>
  </w:style>
  <w:style w:type="character" w:customStyle="1" w:styleId="ae">
    <w:name w:val="Гипертекстовая ссылка"/>
    <w:uiPriority w:val="99"/>
    <w:rsid w:val="00F9069C"/>
    <w:rPr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F9069C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99"/>
    <w:rsid w:val="00F906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9069C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906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6;&#1072;&#1073;&#1086;&#1095;&#1080;&#1081;%20&#1089;&#1090;&#1086;&#1083;\&#1052;&#1042;&#1050;\3%20&#1052;&#1042;&#1050;%20&#1087;&#1086;%20&#1073;&#1077;&#1079;&#1086;&#1087;&#1072;&#1089;&#1085;&#1086;&#1089;&#1090;&#1080;%20&#1044;&#1044;\&#1055;&#1088;&#1086;&#1075;&#1088;&#1072;&#1084;&#1084;&#1099;\&#1041;&#1044;&#1044;%20&#1055;&#1088;&#1086;&#1075;&#1088;&#1072;&#1084;&#1084;&#1072;%20&#1085;&#1072;%202014-2018%20&#1075;&#1075;\2.%20&#1041;&#1044;&#1044;%20&#1048;&#1079;&#1084;&#1077;&#1085;&#1077;&#1085;&#1080;&#1103;%20&#1055;&#1088;&#1086;&#1075;&#1088;&#1072;&#1084;&#1084;&#1072;%202014-20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3099</Words>
  <Characters>17666</Characters>
  <Application>Microsoft Office Word</Application>
  <DocSecurity>0</DocSecurity>
  <Lines>147</Lines>
  <Paragraphs>41</Paragraphs>
  <ScaleCrop>false</ScaleCrop>
  <Company>Microsoft</Company>
  <LinksUpToDate>false</LinksUpToDate>
  <CharactersWithSpaces>20724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2017-03-07T06:40:00Z</dcterms:created>
  <dcterms:modified xsi:type="dcterms:W3CDTF">2017-03-07T06:41:00Z</dcterms:modified>
</cp:coreProperties>
</file>