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5044"/>
      </w:tblGrid>
      <w:tr w:rsidR="00AE3E93" w:rsidTr="00AE3E93">
        <w:tc>
          <w:tcPr>
            <w:tcW w:w="4253" w:type="dxa"/>
          </w:tcPr>
          <w:p w:rsidR="00AE3E93" w:rsidRDefault="00AE3E9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  <w:p w:rsidR="00AE3E93" w:rsidRDefault="00AE3E93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 область</w:t>
            </w:r>
          </w:p>
          <w:p w:rsidR="00AE3E93" w:rsidRDefault="00AE3E93">
            <w:pPr>
              <w:ind w:left="34"/>
              <w:jc w:val="center"/>
            </w:pPr>
          </w:p>
          <w:p w:rsidR="00AE3E93" w:rsidRDefault="00AE3E93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AE3E93" w:rsidRDefault="00AE3E93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городского округа Кинель</w:t>
            </w:r>
          </w:p>
          <w:p w:rsidR="00AE3E93" w:rsidRDefault="00AE3E93">
            <w:pPr>
              <w:ind w:left="34"/>
              <w:jc w:val="center"/>
              <w:rPr>
                <w:sz w:val="18"/>
              </w:rPr>
            </w:pPr>
          </w:p>
          <w:p w:rsidR="00AE3E93" w:rsidRDefault="00AE3E93">
            <w:pPr>
              <w:ind w:left="34"/>
              <w:jc w:val="center"/>
              <w:rPr>
                <w:sz w:val="18"/>
              </w:rPr>
            </w:pPr>
          </w:p>
          <w:p w:rsidR="00AE3E93" w:rsidRDefault="00AE3E93">
            <w:pPr>
              <w:pStyle w:val="1"/>
              <w:ind w:left="34"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AE3E93" w:rsidRDefault="00AE3E93">
            <w:pPr>
              <w:ind w:left="34"/>
              <w:jc w:val="center"/>
            </w:pPr>
          </w:p>
          <w:p w:rsidR="00AE3E93" w:rsidRDefault="00AE3E93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 </w:t>
            </w:r>
            <w:r>
              <w:rPr>
                <w:szCs w:val="28"/>
              </w:rPr>
              <w:t>№_______</w:t>
            </w:r>
          </w:p>
          <w:p w:rsidR="00AE3E93" w:rsidRDefault="00AE3E93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5040" w:type="dxa"/>
            <w:hideMark/>
          </w:tcPr>
          <w:p w:rsidR="00AE3E93" w:rsidRDefault="00AE3E93">
            <w:pPr>
              <w:jc w:val="right"/>
            </w:pPr>
            <w:r>
              <w:t>ПРОЕКТ</w:t>
            </w:r>
          </w:p>
        </w:tc>
      </w:tr>
      <w:tr w:rsidR="00AE3E93" w:rsidTr="00AE3E93">
        <w:trPr>
          <w:gridAfter w:val="1"/>
          <w:wAfter w:w="5040" w:type="dxa"/>
          <w:trHeight w:val="375"/>
        </w:trPr>
        <w:tc>
          <w:tcPr>
            <w:tcW w:w="4253" w:type="dxa"/>
            <w:hideMark/>
          </w:tcPr>
          <w:p w:rsidR="00AE3E93" w:rsidRDefault="00AE3E93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Самарской области от 30.09.2013 № 2879 (с изменениями от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31.01.2014, от 07.07.2014, от 29.07.2014, от 02.09.2014, от 22.09.2014, от 24.10.2014, от 08.12.2014, от 09.02.2015, от 06.04.2015, от 02.06.2015, от 15.07.2015, от 04.09.2015, от 29.10.2015, от 31.12.2015</w:t>
            </w:r>
            <w:proofErr w:type="gramEnd"/>
            <w:r>
              <w:rPr>
                <w:szCs w:val="28"/>
              </w:rPr>
              <w:t>, от 14.03.2017)</w:t>
            </w:r>
          </w:p>
        </w:tc>
      </w:tr>
    </w:tbl>
    <w:p w:rsidR="00AE3E93" w:rsidRDefault="00AE3E93" w:rsidP="00AE3E93">
      <w:pPr>
        <w:pStyle w:val="3"/>
        <w:shd w:val="clear" w:color="auto" w:fill="auto"/>
        <w:spacing w:before="0" w:after="0" w:line="240" w:lineRule="auto"/>
        <w:ind w:right="20" w:firstLine="680"/>
        <w:rPr>
          <w:rFonts w:eastAsia="Calibri"/>
          <w:spacing w:val="0"/>
          <w:sz w:val="28"/>
          <w:szCs w:val="28"/>
        </w:rPr>
      </w:pPr>
    </w:p>
    <w:p w:rsidR="00AE3E93" w:rsidRDefault="00AE3E93" w:rsidP="00AE3E93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>
        <w:rPr>
          <w:sz w:val="28"/>
          <w:szCs w:val="28"/>
        </w:rPr>
        <w:t>В соответствии с решением Думы городского округа Кинель Самарской области от 19.04.2017г. № 248 «О бюджете городского округа Кинель Самарской области на 2016 год и на плановый период 2017 и 2018 годов»</w:t>
      </w:r>
    </w:p>
    <w:p w:rsidR="00AE3E93" w:rsidRDefault="00AE3E93" w:rsidP="00AE3E93">
      <w:pPr>
        <w:spacing w:before="120" w:after="120" w:line="360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AE3E93" w:rsidRDefault="00AE3E93" w:rsidP="00AE3E93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Самарской области от 30.09.2013 № 2879 (с изменениями </w:t>
      </w:r>
      <w:r>
        <w:rPr>
          <w:szCs w:val="28"/>
        </w:rPr>
        <w:lastRenderedPageBreak/>
        <w:t>от</w:t>
      </w:r>
      <w:r>
        <w:rPr>
          <w:szCs w:val="28"/>
          <w:lang w:val="en-US"/>
        </w:rPr>
        <w:t> </w:t>
      </w:r>
      <w:r>
        <w:rPr>
          <w:szCs w:val="28"/>
        </w:rPr>
        <w:t>31.01.2014, от 07.07.2014, от 29.07.2014, от 02.09.2014, от 22.09.2014, от 24.10.2014, от 08.12.2014, от 09.02.2015, от 06.04.2015, от 02.06.2015, от 15.07.2015, от 04.09.2015, от 29.10.2015, от 31.12.2015, от 14.03.2017</w:t>
      </w:r>
      <w:proofErr w:type="gramEnd"/>
      <w:r>
        <w:rPr>
          <w:szCs w:val="28"/>
        </w:rPr>
        <w:t>), следующие изменения:</w:t>
      </w:r>
    </w:p>
    <w:p w:rsidR="00AE3E93" w:rsidRDefault="00AE3E93" w:rsidP="00AE3E93">
      <w:pPr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паспорте муниципальной программы </w:t>
      </w:r>
      <w:r>
        <w:rPr>
          <w:rStyle w:val="a6"/>
          <w:b w:val="0"/>
          <w:bCs/>
          <w:color w:val="auto"/>
          <w:szCs w:val="28"/>
        </w:rPr>
        <w:t>сумму «</w:t>
      </w:r>
      <w:r>
        <w:rPr>
          <w:szCs w:val="28"/>
        </w:rPr>
        <w:t>309580,256» заменить суммой «389975,398», сумму «</w:t>
      </w:r>
      <w:r>
        <w:rPr>
          <w:rStyle w:val="a6"/>
          <w:b w:val="0"/>
          <w:color w:val="auto"/>
          <w:szCs w:val="28"/>
        </w:rPr>
        <w:t xml:space="preserve">45153,0» заменить суммой </w:t>
      </w:r>
      <w:r>
        <w:rPr>
          <w:szCs w:val="28"/>
        </w:rPr>
        <w:t>«125548,142».</w:t>
      </w:r>
    </w:p>
    <w:p w:rsidR="00AE3E93" w:rsidRDefault="00AE3E93" w:rsidP="00AE3E93">
      <w:pPr>
        <w:numPr>
          <w:ilvl w:val="1"/>
          <w:numId w:val="1"/>
        </w:numPr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разделе 5:</w:t>
      </w:r>
    </w:p>
    <w:p w:rsidR="00AE3E93" w:rsidRDefault="00AE3E93" w:rsidP="00AE3E93">
      <w:pPr>
        <w:pStyle w:val="a3"/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bCs/>
          <w:szCs w:val="28"/>
        </w:rPr>
      </w:pPr>
      <w:r>
        <w:rPr>
          <w:rStyle w:val="a6"/>
          <w:b w:val="0"/>
          <w:bCs/>
          <w:color w:val="auto"/>
          <w:szCs w:val="28"/>
        </w:rPr>
        <w:t>В пункте 5.1. сумму «</w:t>
      </w:r>
      <w:r>
        <w:rPr>
          <w:rStyle w:val="a6"/>
          <w:b w:val="0"/>
          <w:bCs/>
          <w:color w:val="auto"/>
        </w:rPr>
        <w:t>209164,142» заменить суммой «209559,284», сумму «</w:t>
      </w:r>
      <w:r>
        <w:rPr>
          <w:rStyle w:val="a6"/>
          <w:b w:val="0"/>
          <w:bCs/>
          <w:color w:val="auto"/>
          <w:szCs w:val="28"/>
        </w:rPr>
        <w:t xml:space="preserve">45153,0» заменить суммой </w:t>
      </w:r>
      <w:r>
        <w:rPr>
          <w:rStyle w:val="a6"/>
          <w:b w:val="0"/>
          <w:bCs/>
          <w:color w:val="auto"/>
        </w:rPr>
        <w:t>«</w:t>
      </w:r>
      <w:r>
        <w:rPr>
          <w:rStyle w:val="a6"/>
          <w:b w:val="0"/>
          <w:bCs/>
          <w:color w:val="auto"/>
          <w:szCs w:val="28"/>
        </w:rPr>
        <w:t>45548,142</w:t>
      </w:r>
      <w:r>
        <w:rPr>
          <w:rStyle w:val="a6"/>
          <w:b w:val="0"/>
          <w:bCs/>
          <w:color w:val="auto"/>
        </w:rPr>
        <w:t>».</w:t>
      </w:r>
    </w:p>
    <w:p w:rsidR="00AE3E93" w:rsidRDefault="00AE3E93" w:rsidP="00AE3E93">
      <w:pPr>
        <w:pStyle w:val="a3"/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rStyle w:val="a6"/>
          <w:b w:val="0"/>
          <w:bCs/>
          <w:color w:val="auto"/>
          <w:szCs w:val="28"/>
        </w:rPr>
        <w:t xml:space="preserve">В пункте 5.2. </w:t>
      </w:r>
      <w:r>
        <w:rPr>
          <w:szCs w:val="28"/>
        </w:rPr>
        <w:t>сумму «100416,114» заменить суммой «180416,114», сумму «0» заменить суммой «80000,0».</w:t>
      </w:r>
    </w:p>
    <w:p w:rsidR="00AE3E93" w:rsidRDefault="00AE3E93" w:rsidP="00AE3E93">
      <w:pPr>
        <w:pStyle w:val="a3"/>
        <w:tabs>
          <w:tab w:val="left" w:pos="1080"/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Таблицу 3 пункта 5.3. изложить в новой редакции согласно Приложению № 1.</w:t>
      </w:r>
    </w:p>
    <w:p w:rsidR="00AE3E93" w:rsidRDefault="00AE3E93" w:rsidP="00AE3E93">
      <w:pPr>
        <w:numPr>
          <w:ilvl w:val="1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Приложение № 1 к муниципальной программе изложить в новой редакции согласно Приложению № 2.</w:t>
      </w:r>
    </w:p>
    <w:p w:rsidR="00AE3E93" w:rsidRDefault="00AE3E93" w:rsidP="00AE3E93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информационно-коммуникационной сети «Интернет»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«Информация».</w:t>
      </w:r>
    </w:p>
    <w:p w:rsidR="00AE3E93" w:rsidRDefault="00AE3E93" w:rsidP="00AE3E93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AE3E93" w:rsidRDefault="00AE3E93" w:rsidP="00AE3E93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Кинель по ЖКХ (Федотов С.Н.).</w:t>
      </w:r>
    </w:p>
    <w:p w:rsidR="00AE3E93" w:rsidRDefault="00AE3E93" w:rsidP="00AE3E93">
      <w:pPr>
        <w:rPr>
          <w:szCs w:val="28"/>
        </w:rPr>
      </w:pPr>
    </w:p>
    <w:p w:rsidR="00AE3E93" w:rsidRDefault="00AE3E93" w:rsidP="00AE3E93">
      <w:pPr>
        <w:rPr>
          <w:szCs w:val="28"/>
        </w:rPr>
      </w:pPr>
    </w:p>
    <w:p w:rsidR="00AE3E93" w:rsidRDefault="00AE3E93" w:rsidP="00AE3E93">
      <w:pPr>
        <w:rPr>
          <w:szCs w:val="28"/>
        </w:rPr>
      </w:pPr>
    </w:p>
    <w:p w:rsidR="00AE3E93" w:rsidRDefault="00AE3E93" w:rsidP="00AE3E93">
      <w:pPr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AE3E93" w:rsidRDefault="00AE3E93" w:rsidP="00AE3E93">
      <w:pPr>
        <w:rPr>
          <w:szCs w:val="28"/>
        </w:rPr>
      </w:pPr>
    </w:p>
    <w:p w:rsidR="00AE3E93" w:rsidRDefault="00AE3E93" w:rsidP="00AE3E93">
      <w:pPr>
        <w:rPr>
          <w:szCs w:val="28"/>
        </w:rPr>
      </w:pPr>
    </w:p>
    <w:p w:rsidR="00AE3E93" w:rsidRDefault="00AE3E93" w:rsidP="00AE3E93">
      <w:pPr>
        <w:jc w:val="both"/>
        <w:rPr>
          <w:szCs w:val="28"/>
        </w:rPr>
      </w:pPr>
      <w:r>
        <w:rPr>
          <w:szCs w:val="28"/>
        </w:rPr>
        <w:t>Савичева 63561</w:t>
      </w:r>
    </w:p>
    <w:tbl>
      <w:tblPr>
        <w:tblW w:w="9464" w:type="dxa"/>
        <w:tblLook w:val="01E0"/>
      </w:tblPr>
      <w:tblGrid>
        <w:gridCol w:w="5070"/>
        <w:gridCol w:w="4394"/>
      </w:tblGrid>
      <w:tr w:rsidR="00AE3E93" w:rsidTr="00AE3E93">
        <w:tc>
          <w:tcPr>
            <w:tcW w:w="5070" w:type="dxa"/>
          </w:tcPr>
          <w:p w:rsidR="00AE3E93" w:rsidRDefault="00AE3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E3E93" w:rsidRDefault="00AE3E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AE3E93" w:rsidRDefault="00AE3E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AE3E93" w:rsidRDefault="00AE3E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</w:t>
            </w:r>
            <w:r>
              <w:rPr>
                <w:szCs w:val="28"/>
              </w:rPr>
              <w:t>№_______</w:t>
            </w:r>
          </w:p>
          <w:p w:rsidR="00AE3E93" w:rsidRDefault="00AE3E9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AE3E93" w:rsidRDefault="00AE3E93" w:rsidP="00AE3E93">
      <w:pPr>
        <w:jc w:val="both"/>
        <w:rPr>
          <w:szCs w:val="28"/>
        </w:rPr>
      </w:pPr>
    </w:p>
    <w:p w:rsidR="00AE3E93" w:rsidRDefault="00AE3E93" w:rsidP="00AE3E93">
      <w:pPr>
        <w:jc w:val="both"/>
        <w:rPr>
          <w:szCs w:val="28"/>
        </w:rPr>
      </w:pPr>
    </w:p>
    <w:p w:rsidR="00AE3E93" w:rsidRDefault="00AE3E93" w:rsidP="00AE3E93">
      <w:pPr>
        <w:ind w:firstLine="698"/>
        <w:jc w:val="right"/>
        <w:rPr>
          <w:b/>
          <w:sz w:val="27"/>
          <w:szCs w:val="27"/>
        </w:rPr>
      </w:pPr>
      <w:r>
        <w:rPr>
          <w:rStyle w:val="a6"/>
          <w:b w:val="0"/>
          <w:bCs/>
          <w:color w:val="auto"/>
          <w:sz w:val="27"/>
          <w:szCs w:val="27"/>
        </w:rPr>
        <w:t>Таблица 3.</w:t>
      </w:r>
    </w:p>
    <w:p w:rsidR="00AE3E93" w:rsidRDefault="00AE3E93" w:rsidP="00AE3E9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p w:rsidR="00AE3E93" w:rsidRDefault="00AE3E93" w:rsidP="00AE3E93">
      <w:pPr>
        <w:jc w:val="center"/>
        <w:rPr>
          <w:b/>
          <w:sz w:val="27"/>
          <w:szCs w:val="27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417"/>
        <w:gridCol w:w="1276"/>
        <w:gridCol w:w="1275"/>
        <w:gridCol w:w="1277"/>
        <w:gridCol w:w="1276"/>
        <w:gridCol w:w="1275"/>
      </w:tblGrid>
      <w:tr w:rsidR="00AE3E93" w:rsidTr="00AE3E9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программных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AE3E93" w:rsidRDefault="00AE3E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AE3E93" w:rsidTr="00AE3E93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E93" w:rsidTr="00AE3E9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ЖКХ» городского округа Кинель»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AE3E93" w:rsidTr="00AE3E93">
        <w:trPr>
          <w:trHeight w:val="556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76629.071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16321,794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39861,509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18445,768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E3E93" w:rsidTr="00AE3E93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AE3E93" w:rsidTr="00AE3E93">
        <w:trPr>
          <w:trHeight w:val="609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58615,096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23286,923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35328,173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E93" w:rsidTr="00AE3E9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«Служба благоустройства и содержания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 Кинель»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AE3E93" w:rsidTr="00AE3E93">
        <w:trPr>
          <w:trHeight w:val="658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7591,725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5503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AE3E93" w:rsidTr="00AE3E93">
        <w:trPr>
          <w:trHeight w:val="27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AE3E93" w:rsidTr="00AE3E93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E93" w:rsidTr="00AE3E9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градострои-тельства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администрации г.о. Кинель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AE3E93" w:rsidTr="00AE3E93">
        <w:trPr>
          <w:trHeight w:val="95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105878,815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52592,346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36728,469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16558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AE3E93" w:rsidTr="00AE3E93">
        <w:trPr>
          <w:trHeight w:val="27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AE3E93" w:rsidTr="00AE3E93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121801,018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41801,018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E93" w:rsidTr="00AE3E9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г.о.Кинель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</w:tr>
      <w:tr w:rsidR="00AE3E93" w:rsidTr="00AE3E93">
        <w:trPr>
          <w:trHeight w:val="95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11891,528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5754,528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6137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AE3E93" w:rsidTr="00AE3E93">
        <w:trPr>
          <w:trHeight w:val="27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из областного бюджета</w:t>
            </w:r>
          </w:p>
        </w:tc>
      </w:tr>
      <w:tr w:rsidR="00AE3E93" w:rsidTr="00AE3E93"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pStyle w:val="a4"/>
              <w:ind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E3E93" w:rsidRDefault="00AE3E93" w:rsidP="00AE3E93">
      <w:pPr>
        <w:jc w:val="both"/>
        <w:rPr>
          <w:szCs w:val="28"/>
        </w:rPr>
      </w:pPr>
    </w:p>
    <w:p w:rsidR="00AE3E93" w:rsidRDefault="00AE3E93" w:rsidP="00AE3E93">
      <w:pPr>
        <w:jc w:val="both"/>
        <w:rPr>
          <w:szCs w:val="28"/>
        </w:rPr>
      </w:pPr>
    </w:p>
    <w:p w:rsidR="00AE3E93" w:rsidRDefault="00AE3E93" w:rsidP="00AE3E93">
      <w:pPr>
        <w:jc w:val="both"/>
        <w:rPr>
          <w:szCs w:val="28"/>
        </w:rPr>
      </w:pPr>
    </w:p>
    <w:p w:rsidR="00AE3E93" w:rsidRDefault="00AE3E93" w:rsidP="00AE3E93">
      <w:pPr>
        <w:jc w:val="both"/>
      </w:pPr>
    </w:p>
    <w:p w:rsidR="00AE3E93" w:rsidRDefault="00AE3E93" w:rsidP="00AE3E93">
      <w:pPr>
        <w:rPr>
          <w:szCs w:val="28"/>
        </w:rPr>
        <w:sectPr w:rsidR="00AE3E93">
          <w:pgSz w:w="11906" w:h="16838"/>
          <w:pgMar w:top="1276" w:right="849" w:bottom="993" w:left="1701" w:header="708" w:footer="708" w:gutter="0"/>
          <w:cols w:space="720"/>
        </w:sectPr>
      </w:pPr>
    </w:p>
    <w:tbl>
      <w:tblPr>
        <w:tblW w:w="15276" w:type="dxa"/>
        <w:tblLook w:val="01E0"/>
      </w:tblPr>
      <w:tblGrid>
        <w:gridCol w:w="8188"/>
        <w:gridCol w:w="7088"/>
      </w:tblGrid>
      <w:tr w:rsidR="00AE3E93" w:rsidTr="00AE3E93">
        <w:tc>
          <w:tcPr>
            <w:tcW w:w="8188" w:type="dxa"/>
          </w:tcPr>
          <w:p w:rsidR="00AE3E93" w:rsidRDefault="00AE3E9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E3E93" w:rsidRDefault="00AE3E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AE3E93" w:rsidRDefault="00AE3E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AE3E93" w:rsidRDefault="00AE3E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</w:t>
            </w:r>
            <w:r>
              <w:rPr>
                <w:szCs w:val="28"/>
              </w:rPr>
              <w:t>№_______</w:t>
            </w:r>
          </w:p>
          <w:p w:rsidR="00AE3E93" w:rsidRDefault="00AE3E93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AE3E93" w:rsidRDefault="00AE3E93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№ 1</w:t>
            </w:r>
          </w:p>
          <w:p w:rsidR="00AE3E93" w:rsidRDefault="00AE3E93">
            <w:pPr>
              <w:ind w:left="34"/>
              <w:jc w:val="center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Cs w:val="28"/>
              </w:rPr>
              <w:t xml:space="preserve">к муниципальной программе городского округа Кинель Самарской области по повышению безопасности дорожного движения на 2014-2018 годы </w:t>
            </w:r>
            <w:r>
              <w:rPr>
                <w:szCs w:val="28"/>
                <w:u w:val="single"/>
              </w:rPr>
              <w:t>(</w:t>
            </w:r>
            <w:r>
              <w:rPr>
                <w:szCs w:val="28"/>
              </w:rPr>
              <w:t>в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редакции постановлений администрации городского округа от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31.01.2014, от 07.07.2014, от 29.07.2014, от 02.09.2014, от 22.09.2014, от 24.10.2014, от 08.12.2014, от 09.02.2015, от 06.04.2015, от 02.06.2015, от 15.07.2015, от 04.09.2015, от 29.10.2015, от 31.12.2015, от 14.03.2017)</w:t>
            </w:r>
            <w:proofErr w:type="gramEnd"/>
          </w:p>
        </w:tc>
      </w:tr>
    </w:tbl>
    <w:p w:rsidR="00AE3E93" w:rsidRDefault="00AE3E93" w:rsidP="00AE3E93">
      <w:pPr>
        <w:pStyle w:val="1"/>
        <w:spacing w:line="240" w:lineRule="auto"/>
        <w:jc w:val="center"/>
        <w:rPr>
          <w:szCs w:val="24"/>
        </w:rPr>
      </w:pPr>
    </w:p>
    <w:p w:rsidR="00AE3E93" w:rsidRDefault="00AE3E93" w:rsidP="00AE3E93">
      <w:pPr>
        <w:pStyle w:val="1"/>
        <w:spacing w:line="240" w:lineRule="auto"/>
        <w:jc w:val="center"/>
        <w:rPr>
          <w:szCs w:val="24"/>
        </w:rPr>
      </w:pPr>
      <w:r>
        <w:rPr>
          <w:szCs w:val="24"/>
        </w:rPr>
        <w:t>Перечень программных мероприятий</w:t>
      </w:r>
    </w:p>
    <w:tbl>
      <w:tblPr>
        <w:tblW w:w="161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5"/>
        <w:gridCol w:w="3850"/>
        <w:gridCol w:w="847"/>
        <w:gridCol w:w="1563"/>
        <w:gridCol w:w="1563"/>
        <w:gridCol w:w="1307"/>
        <w:gridCol w:w="1290"/>
        <w:gridCol w:w="1261"/>
        <w:gridCol w:w="1146"/>
        <w:gridCol w:w="2703"/>
      </w:tblGrid>
      <w:tr w:rsidR="00AE3E93" w:rsidTr="00AE3E93">
        <w:trPr>
          <w:tblHeader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исполнения, годы</w:t>
            </w:r>
          </w:p>
        </w:tc>
        <w:tc>
          <w:tcPr>
            <w:tcW w:w="81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AE3E93" w:rsidTr="00AE3E93">
        <w:trPr>
          <w:tblHeader/>
        </w:trPr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</w:tr>
      <w:tr w:rsidR="00AE3E93" w:rsidTr="00AE3E93">
        <w:tc>
          <w:tcPr>
            <w:tcW w:w="1618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тематики безопасности дорожного движения в СМИ: газетах «Кинельская жизнь», «Неделя Кинеля», на сайте городского округа Кинель (по предоставлению информации ОГИБДД МО МВД России «Кинельский»)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2014 - 2018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городского округа Кинель Самарской области </w:t>
            </w: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Дом молодежных организаций городского округа Кинель Самарской области «Альянс молодых» (далее – МБУ ДМО «Альянс молодых»)</w:t>
            </w: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</w:tr>
      <w:tr w:rsidR="00AE3E93" w:rsidTr="00AE3E93">
        <w:tc>
          <w:tcPr>
            <w:tcW w:w="16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AE3E93" w:rsidTr="00AE3E93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автодорог, тротуаров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39451,286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2764,6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7111,273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t>МКУ «Управление ЖКХ» городского округа Кинель»</w:t>
            </w:r>
            <w:r>
              <w:rPr>
                <w:bCs/>
                <w:sz w:val="24"/>
                <w:szCs w:val="24"/>
              </w:rPr>
              <w:t xml:space="preserve"> (далее МКУ «Управление </w:t>
            </w:r>
            <w:r>
              <w:rPr>
                <w:bCs/>
                <w:sz w:val="24"/>
                <w:szCs w:val="24"/>
              </w:rPr>
              <w:lastRenderedPageBreak/>
              <w:t>ЖКХ»)</w:t>
            </w:r>
          </w:p>
        </w:tc>
      </w:tr>
      <w:tr w:rsidR="00AE3E93" w:rsidTr="00AE3E9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11989,413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17586,0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 Кинель Самарской области (далее – Управление архитектуры и градостроительства)</w:t>
            </w:r>
          </w:p>
        </w:tc>
      </w:tr>
      <w:tr w:rsidR="00AE3E93" w:rsidTr="00AE3E93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лабораторных испытаний дорожно-строительных материалов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581,92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AE3E93" w:rsidTr="00AE3E9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E3E93" w:rsidTr="00AE3E93">
        <w:trPr>
          <w:trHeight w:val="339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автодорог, тротуаров (софинансирование)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AE3E93" w:rsidTr="00AE3E93">
        <w:trPr>
          <w:trHeight w:val="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3910,336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1845,236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2065,1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</w:tr>
      <w:tr w:rsidR="00AE3E93" w:rsidTr="00AE3E93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</w:tr>
      <w:tr w:rsidR="00AE3E93" w:rsidTr="00AE3E93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58615,096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23286,923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35328,173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</w:tr>
      <w:tr w:rsidR="00AE3E93" w:rsidTr="00AE3E93">
        <w:trPr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E3E93" w:rsidTr="00AE3E93">
        <w:trPr>
          <w:trHeight w:val="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9678,32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6082,320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1596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</w:tr>
      <w:tr w:rsidR="00AE3E93" w:rsidTr="00AE3E93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ind w:left="9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</w:tr>
      <w:tr w:rsidR="00AE3E93" w:rsidTr="00AE3E93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121801,018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41801,018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20209,881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4127,706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8702,775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ЖКХ»</w:t>
            </w:r>
          </w:p>
        </w:tc>
      </w:tr>
      <w:tr w:rsidR="00AE3E93" w:rsidTr="00AE3E93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сборно-разборных конструкций искусственных дорожных неровностей на проезжей части автодорог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AE3E93" w:rsidTr="00AE3E9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щебня и природной песчано-гравийной смеси для дорожных работ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6989.44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5063,34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210.0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AE3E93" w:rsidTr="00AE3E93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грунтовых дорог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12862</w:t>
            </w:r>
            <w:r>
              <w:rPr>
                <w:sz w:val="24"/>
                <w:szCs w:val="24"/>
                <w:lang w:val="en-US"/>
              </w:rPr>
              <w:t>.625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974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AE3E93" w:rsidTr="00AE3E9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2016 - </w:t>
            </w:r>
            <w:r>
              <w:rPr>
                <w:sz w:val="24"/>
                <w:szCs w:val="24"/>
                <w:lang w:val="en-US"/>
              </w:rPr>
              <w:lastRenderedPageBreak/>
              <w:t>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7591,725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 «СБСК»</w:t>
            </w:r>
          </w:p>
        </w:tc>
      </w:tr>
      <w:tr w:rsidR="00AE3E93" w:rsidTr="00AE3E93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7447,663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1392,576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493,252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AE3E93" w:rsidTr="00AE3E9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2017 - 2018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1349,735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3493,0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МБУ «СБСК»</w:t>
            </w:r>
          </w:p>
        </w:tc>
      </w:tr>
      <w:tr w:rsidR="00AE3E93" w:rsidTr="00AE3E93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2014 -201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5519,019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1096,25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1038,76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ЖКХ»</w:t>
            </w:r>
          </w:p>
        </w:tc>
      </w:tr>
      <w:tr w:rsidR="00AE3E93" w:rsidTr="00AE3E9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2017 - 2018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810,0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 «СБСК»</w:t>
            </w:r>
          </w:p>
        </w:tc>
      </w:tr>
      <w:tr w:rsidR="00AE3E93" w:rsidTr="00AE3E93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дорожных (пешеходных) ограждений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2936,19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1914,17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722,02*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AE3E93" w:rsidTr="00AE3E9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 «СБСК»</w:t>
            </w: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мостовых сооружений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152.403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114,762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AE3E93" w:rsidTr="00AE3E93">
        <w:trPr>
          <w:trHeight w:val="73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установка светофорных объектов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2014 201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2086.244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,244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539,0**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AE3E93" w:rsidTr="00AE3E93">
        <w:trPr>
          <w:trHeight w:val="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E3E93" w:rsidTr="00AE3E93">
        <w:trPr>
          <w:trHeight w:val="7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24874,839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20560,839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4314</w:t>
            </w:r>
            <w:r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E3E93" w:rsidTr="00AE3E93">
        <w:trPr>
          <w:trHeight w:val="73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сметной 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-2015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AE3E93" w:rsidTr="00AE3E93">
        <w:trPr>
          <w:trHeight w:val="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 w:rsidP="00125F0F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комплексной схемы организации дорожного движения на 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 w:right="34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1000.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1000.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ЖКХ»</w:t>
            </w: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320979,411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39608,717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59630,466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 w:right="34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102550,763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111090,465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8099.0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</w:tr>
      <w:tr w:rsidR="00AE3E93" w:rsidTr="00AE3E93">
        <w:tc>
          <w:tcPr>
            <w:tcW w:w="16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Муниципальный дорожный фонд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proofErr w:type="gramEnd"/>
          </w:p>
        </w:tc>
      </w:tr>
      <w:tr w:rsidR="00AE3E93" w:rsidTr="00AE3E93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3"/>
              </w:numPr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финансируемые из муниципального дорожного фонда.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57104,459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15559,216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ЖКХ» </w:t>
            </w:r>
          </w:p>
        </w:tc>
      </w:tr>
      <w:tr w:rsidR="00AE3E93" w:rsidTr="00AE3E9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2016 - 2018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17880,094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8703,149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14962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E3E93" w:rsidTr="00AE3E93">
        <w:trPr>
          <w:trHeight w:val="5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57104,459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15559,216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17880,094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8703,149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14962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</w:tr>
      <w:tr w:rsidR="00AE3E93" w:rsidTr="00AE3E93">
        <w:tc>
          <w:tcPr>
            <w:tcW w:w="16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Профилактика детского дорожно-транспортного травматизма.</w:t>
            </w: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 w:rsidP="00125F0F">
            <w:pPr>
              <w:pStyle w:val="a3"/>
              <w:numPr>
                <w:ilvl w:val="1"/>
                <w:numId w:val="4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2014 -2018</w:t>
            </w:r>
          </w:p>
        </w:tc>
        <w:tc>
          <w:tcPr>
            <w:tcW w:w="8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финансирования</w:t>
            </w:r>
          </w:p>
          <w:p w:rsidR="00AE3E93" w:rsidRDefault="00AE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деятельности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ДМО «Альянс молодых»</w:t>
            </w: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</w:tr>
      <w:tr w:rsidR="00AE3E93" w:rsidTr="00AE3E93">
        <w:tc>
          <w:tcPr>
            <w:tcW w:w="16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Обеспечение выполнения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11891,528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5754,528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6137,0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11891,528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 w:right="-108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5754,528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6137,0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</w:tr>
      <w:tr w:rsidR="00AE3E93" w:rsidTr="00AE3E9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93" w:rsidRDefault="00AE3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2014 -2018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389975,398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 w:right="-108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39608,717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75189,682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120430,857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ind w:left="-107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125548,142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93" w:rsidRDefault="00AE3E9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29198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93" w:rsidRDefault="00AE3E93">
            <w:pPr>
              <w:rPr>
                <w:b/>
                <w:sz w:val="24"/>
                <w:szCs w:val="24"/>
              </w:rPr>
            </w:pPr>
          </w:p>
        </w:tc>
      </w:tr>
    </w:tbl>
    <w:p w:rsidR="00AE3E93" w:rsidRDefault="00AE3E93" w:rsidP="00AE3E93">
      <w:pPr>
        <w:pStyle w:val="a3"/>
        <w:jc w:val="both"/>
        <w:rPr>
          <w:sz w:val="16"/>
          <w:szCs w:val="16"/>
        </w:rPr>
      </w:pPr>
    </w:p>
    <w:p w:rsidR="00AE3E93" w:rsidRDefault="00AE3E93" w:rsidP="00AE3E93">
      <w:pPr>
        <w:pStyle w:val="a3"/>
        <w:ind w:left="0"/>
        <w:jc w:val="both"/>
        <w:rPr>
          <w:rFonts w:cs="Tahoma"/>
          <w:sz w:val="16"/>
          <w:szCs w:val="16"/>
        </w:rPr>
      </w:pPr>
      <w:r>
        <w:rPr>
          <w:sz w:val="16"/>
          <w:szCs w:val="16"/>
        </w:rPr>
        <w:t xml:space="preserve">*Сумма заложена на установку </w:t>
      </w:r>
      <w:r>
        <w:rPr>
          <w:rFonts w:cs="Tahoma"/>
          <w:sz w:val="16"/>
          <w:szCs w:val="16"/>
        </w:rPr>
        <w:t>дорожных (пешеходных) ограждений, приобретенных в 2014 году</w:t>
      </w:r>
    </w:p>
    <w:p w:rsidR="00AE3E93" w:rsidRDefault="00AE3E93" w:rsidP="00AE3E93">
      <w:pPr>
        <w:rPr>
          <w:szCs w:val="28"/>
        </w:rPr>
      </w:pPr>
      <w:r>
        <w:rPr>
          <w:sz w:val="16"/>
          <w:szCs w:val="16"/>
        </w:rPr>
        <w:t xml:space="preserve">**Сумма заложена на установку </w:t>
      </w:r>
      <w:r>
        <w:rPr>
          <w:rFonts w:cs="Tahoma"/>
          <w:sz w:val="16"/>
          <w:szCs w:val="16"/>
        </w:rPr>
        <w:t>светофорных объектов, приобретенных в 2014 году»</w:t>
      </w:r>
    </w:p>
    <w:p w:rsidR="005A36B7" w:rsidRDefault="00AE3E93"/>
    <w:sectPr w:rsidR="005A36B7" w:rsidSect="00AE3E9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6438"/>
    <w:multiLevelType w:val="multilevel"/>
    <w:tmpl w:val="74E4E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">
    <w:nsid w:val="32120D78"/>
    <w:multiLevelType w:val="multilevel"/>
    <w:tmpl w:val="11506E20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459C35D1"/>
    <w:multiLevelType w:val="multilevel"/>
    <w:tmpl w:val="6AC23070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75534B66"/>
    <w:multiLevelType w:val="multilevel"/>
    <w:tmpl w:val="02282A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3E93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8DF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3E93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9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E93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E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AE3E93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AE3E9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_"/>
    <w:basedOn w:val="a0"/>
    <w:link w:val="3"/>
    <w:uiPriority w:val="99"/>
    <w:locked/>
    <w:rsid w:val="00AE3E93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AE3E93"/>
    <w:pPr>
      <w:shd w:val="clear" w:color="auto" w:fill="FFFFFF"/>
      <w:spacing w:before="300" w:after="120" w:line="240" w:lineRule="atLeast"/>
      <w:jc w:val="both"/>
    </w:pPr>
    <w:rPr>
      <w:rFonts w:eastAsiaTheme="minorHAnsi"/>
      <w:spacing w:val="3"/>
      <w:sz w:val="25"/>
      <w:szCs w:val="25"/>
      <w:lang w:eastAsia="en-US"/>
    </w:rPr>
  </w:style>
  <w:style w:type="character" w:customStyle="1" w:styleId="a6">
    <w:name w:val="Цветовое выделение"/>
    <w:uiPriority w:val="99"/>
    <w:rsid w:val="00AE3E93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1496</Words>
  <Characters>8532</Characters>
  <Application>Microsoft Office Word</Application>
  <DocSecurity>0</DocSecurity>
  <Lines>71</Lines>
  <Paragraphs>20</Paragraphs>
  <ScaleCrop>false</ScaleCrop>
  <Company>Microsoft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2017-05-10T05:40:00Z</dcterms:created>
  <dcterms:modified xsi:type="dcterms:W3CDTF">2017-05-10T05:41:00Z</dcterms:modified>
</cp:coreProperties>
</file>