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73"/>
        <w:gridCol w:w="4252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B3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2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28731C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</w:t>
            </w:r>
            <w:r w:rsidR="00DA3028" w:rsidRPr="00DA3028">
              <w:rPr>
                <w:szCs w:val="28"/>
              </w:rPr>
              <w:t>Общественной комисси</w:t>
            </w:r>
            <w:r w:rsidR="00DA3028">
              <w:rPr>
                <w:szCs w:val="28"/>
              </w:rPr>
              <w:t>и</w:t>
            </w:r>
            <w:r w:rsidR="00DA3028" w:rsidRPr="00DA3028">
              <w:rPr>
                <w:szCs w:val="28"/>
              </w:rPr>
              <w:t xml:space="preserve"> </w:t>
            </w:r>
            <w:r w:rsidR="00CB371E">
              <w:rPr>
                <w:szCs w:val="28"/>
              </w:rPr>
              <w:t xml:space="preserve">по обеспечению реализации </w:t>
            </w:r>
            <w:r w:rsidR="00DA3028" w:rsidRPr="00DA3028">
              <w:rPr>
                <w:szCs w:val="28"/>
              </w:rPr>
              <w:t>муниципальн</w:t>
            </w:r>
            <w:r w:rsidR="00F91F4C">
              <w:rPr>
                <w:szCs w:val="28"/>
              </w:rPr>
              <w:t xml:space="preserve">ой </w:t>
            </w:r>
            <w:r w:rsidR="00DA3028" w:rsidRPr="00DA3028">
              <w:rPr>
                <w:szCs w:val="28"/>
              </w:rPr>
              <w:t>программ</w:t>
            </w:r>
            <w:r w:rsidR="00F91F4C">
              <w:rPr>
                <w:szCs w:val="28"/>
              </w:rPr>
              <w:t>ы</w:t>
            </w:r>
            <w:r w:rsidR="00DA3028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28731C">
              <w:rPr>
                <w:szCs w:val="28"/>
              </w:rPr>
              <w:t xml:space="preserve"> на 2017 год»</w:t>
            </w:r>
          </w:p>
        </w:tc>
      </w:tr>
    </w:tbl>
    <w:p w:rsidR="00DF2A57" w:rsidRPr="00873D1F" w:rsidRDefault="00DF2A57" w:rsidP="00873D1F">
      <w:pPr>
        <w:spacing w:line="360" w:lineRule="auto"/>
        <w:ind w:firstLine="720"/>
        <w:jc w:val="both"/>
        <w:rPr>
          <w:szCs w:val="28"/>
        </w:rPr>
      </w:pPr>
    </w:p>
    <w:p w:rsidR="00B53990" w:rsidRPr="00873D1F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F91F4C">
        <w:rPr>
          <w:szCs w:val="28"/>
        </w:rPr>
        <w:t xml:space="preserve"> (в редакции постановления Правительства Российской Федерации от 28.04.2017г. №511)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Default="00CB371E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Создать о</w:t>
      </w:r>
      <w:r w:rsidRPr="00CB371E">
        <w:rPr>
          <w:szCs w:val="28"/>
        </w:rPr>
        <w:t>бщественн</w:t>
      </w:r>
      <w:r>
        <w:rPr>
          <w:szCs w:val="28"/>
        </w:rPr>
        <w:t xml:space="preserve">ую </w:t>
      </w:r>
      <w:r w:rsidRPr="00CB371E">
        <w:rPr>
          <w:szCs w:val="28"/>
        </w:rPr>
        <w:t>комисси</w:t>
      </w:r>
      <w:r>
        <w:rPr>
          <w:szCs w:val="28"/>
        </w:rPr>
        <w:t>ю</w:t>
      </w:r>
      <w:r w:rsidRPr="00CB371E">
        <w:rPr>
          <w:szCs w:val="28"/>
        </w:rPr>
        <w:t xml:space="preserve"> городского округа Кинель Самарской области по </w:t>
      </w:r>
      <w:r w:rsidR="00950A13">
        <w:rPr>
          <w:szCs w:val="28"/>
        </w:rPr>
        <w:t xml:space="preserve">обеспечению реализации </w:t>
      </w:r>
      <w:r w:rsidRPr="00CB371E">
        <w:rPr>
          <w:szCs w:val="28"/>
        </w:rPr>
        <w:t>муниципальн</w:t>
      </w:r>
      <w:r w:rsidR="00F91F4C">
        <w:rPr>
          <w:szCs w:val="28"/>
        </w:rPr>
        <w:t xml:space="preserve">ой </w:t>
      </w:r>
      <w:r w:rsidRPr="00CB371E">
        <w:rPr>
          <w:szCs w:val="28"/>
        </w:rPr>
        <w:t>программ</w:t>
      </w:r>
      <w:r w:rsidR="00F91F4C">
        <w:rPr>
          <w:szCs w:val="28"/>
        </w:rPr>
        <w:t>ы</w:t>
      </w:r>
      <w:r w:rsidRPr="00CB371E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28731C">
        <w:rPr>
          <w:szCs w:val="28"/>
        </w:rPr>
        <w:t>»</w:t>
      </w:r>
      <w:r>
        <w:rPr>
          <w:szCs w:val="28"/>
        </w:rPr>
        <w:t>.</w:t>
      </w:r>
    </w:p>
    <w:p w:rsidR="009047A3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Утвердить</w:t>
      </w:r>
      <w:r w:rsidR="009047A3">
        <w:rPr>
          <w:szCs w:val="28"/>
        </w:rPr>
        <w:t>:</w:t>
      </w:r>
    </w:p>
    <w:p w:rsidR="00CB371E" w:rsidRDefault="00CB371E" w:rsidP="00FE7689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Положение об </w:t>
      </w:r>
      <w:r w:rsidRPr="00CB371E">
        <w:rPr>
          <w:szCs w:val="28"/>
        </w:rPr>
        <w:t>общественн</w:t>
      </w:r>
      <w:r>
        <w:rPr>
          <w:szCs w:val="28"/>
        </w:rPr>
        <w:t xml:space="preserve">ой </w:t>
      </w:r>
      <w:r w:rsidRPr="00CB371E">
        <w:rPr>
          <w:szCs w:val="28"/>
        </w:rPr>
        <w:t>комисси</w:t>
      </w:r>
      <w:r>
        <w:rPr>
          <w:szCs w:val="28"/>
        </w:rPr>
        <w:t>и</w:t>
      </w:r>
      <w:r w:rsidRPr="00CB371E">
        <w:rPr>
          <w:szCs w:val="28"/>
        </w:rPr>
        <w:t xml:space="preserve"> городского округа Кинель Самарской области </w:t>
      </w:r>
      <w:r w:rsidR="00950A13" w:rsidRPr="00950A13">
        <w:rPr>
          <w:szCs w:val="28"/>
        </w:rPr>
        <w:t xml:space="preserve">по обеспечению реализации </w:t>
      </w:r>
      <w:r w:rsidRPr="00CB371E">
        <w:rPr>
          <w:szCs w:val="28"/>
        </w:rPr>
        <w:t>муниципальн</w:t>
      </w:r>
      <w:r w:rsidR="00F91F4C">
        <w:rPr>
          <w:szCs w:val="28"/>
        </w:rPr>
        <w:t xml:space="preserve">ой </w:t>
      </w:r>
      <w:r w:rsidRPr="00CB371E">
        <w:rPr>
          <w:szCs w:val="28"/>
        </w:rPr>
        <w:t>программ</w:t>
      </w:r>
      <w:r w:rsidR="00F91F4C">
        <w:rPr>
          <w:szCs w:val="28"/>
        </w:rPr>
        <w:t>ы</w:t>
      </w:r>
      <w:r w:rsidRPr="00CB371E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28731C">
        <w:rPr>
          <w:szCs w:val="28"/>
        </w:rPr>
        <w:t>»</w:t>
      </w:r>
      <w:r w:rsidR="00F91F4C">
        <w:rPr>
          <w:szCs w:val="28"/>
        </w:rPr>
        <w:t xml:space="preserve"> согласно Приложению №1 к настоящему постановлению</w:t>
      </w:r>
      <w:r>
        <w:rPr>
          <w:szCs w:val="28"/>
        </w:rPr>
        <w:t>.</w:t>
      </w:r>
    </w:p>
    <w:p w:rsidR="009047A3" w:rsidRDefault="009047A3" w:rsidP="00FE7689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Состав </w:t>
      </w:r>
      <w:r w:rsidRPr="009047A3">
        <w:rPr>
          <w:szCs w:val="28"/>
        </w:rPr>
        <w:t xml:space="preserve">общественной комиссии городского округа Кинель Самарской области </w:t>
      </w:r>
      <w:r w:rsidR="00950A13" w:rsidRPr="00950A13">
        <w:rPr>
          <w:szCs w:val="28"/>
        </w:rPr>
        <w:t xml:space="preserve">по обеспечению реализации </w:t>
      </w:r>
      <w:r w:rsidRPr="009047A3">
        <w:rPr>
          <w:szCs w:val="28"/>
        </w:rPr>
        <w:t>муниципальн</w:t>
      </w:r>
      <w:r w:rsidR="00F91F4C">
        <w:rPr>
          <w:szCs w:val="28"/>
        </w:rPr>
        <w:t xml:space="preserve">ой </w:t>
      </w:r>
      <w:r w:rsidRPr="009047A3">
        <w:rPr>
          <w:szCs w:val="28"/>
        </w:rPr>
        <w:t>программ</w:t>
      </w:r>
      <w:r w:rsidR="00F91F4C">
        <w:rPr>
          <w:szCs w:val="28"/>
        </w:rPr>
        <w:t>ы</w:t>
      </w:r>
      <w:r w:rsidRPr="009047A3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28731C">
        <w:rPr>
          <w:szCs w:val="28"/>
        </w:rPr>
        <w:t>»</w:t>
      </w:r>
      <w:r w:rsidR="00F91F4C">
        <w:rPr>
          <w:szCs w:val="28"/>
        </w:rPr>
        <w:t xml:space="preserve"> согласно Приложению №2 к настоящему постановлению</w:t>
      </w:r>
      <w:r>
        <w:rPr>
          <w:szCs w:val="28"/>
        </w:rPr>
        <w:t>.</w:t>
      </w:r>
    </w:p>
    <w:p w:rsidR="00C1059B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9047A3" w:rsidRPr="00873D1F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F91F4C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 Кинель</w:t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F91F4C" w:rsidRDefault="00F91F4C" w:rsidP="00873D1F">
      <w:pPr>
        <w:ind w:firstLine="720"/>
        <w:jc w:val="both"/>
        <w:rPr>
          <w:szCs w:val="28"/>
        </w:rPr>
      </w:pPr>
    </w:p>
    <w:p w:rsidR="00F91F4C" w:rsidRDefault="00F91F4C" w:rsidP="00873D1F">
      <w:pPr>
        <w:ind w:firstLine="720"/>
        <w:jc w:val="both"/>
        <w:rPr>
          <w:szCs w:val="28"/>
        </w:rPr>
      </w:pP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28731C" w:rsidRPr="004A5E35" w:rsidRDefault="00BC7848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28731C" w:rsidRPr="004A5E35">
        <w:rPr>
          <w:szCs w:val="28"/>
        </w:rPr>
        <w:br w:type="page"/>
      </w:r>
    </w:p>
    <w:p w:rsidR="0028731C" w:rsidRPr="004A5E35" w:rsidRDefault="0028731C" w:rsidP="0028731C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28731C" w:rsidRPr="004A5E35" w:rsidRDefault="0028731C" w:rsidP="0028731C">
      <w:pPr>
        <w:jc w:val="center"/>
      </w:pPr>
    </w:p>
    <w:p w:rsidR="0028731C" w:rsidRPr="004A5E35" w:rsidRDefault="0028731C" w:rsidP="0028731C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28731C" w:rsidRPr="004A5E35" w:rsidRDefault="0028731C" w:rsidP="0028731C">
      <w:pPr>
        <w:jc w:val="center"/>
        <w:rPr>
          <w:b/>
          <w:bCs/>
          <w:szCs w:val="28"/>
        </w:rPr>
      </w:pPr>
    </w:p>
    <w:p w:rsidR="0028731C" w:rsidRPr="004A5E35" w:rsidRDefault="0028731C" w:rsidP="002873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Pr="00CF5907">
        <w:rPr>
          <w:szCs w:val="22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>
        <w:rPr>
          <w:szCs w:val="22"/>
        </w:rPr>
        <w:t>»</w:t>
      </w:r>
      <w:r w:rsidRPr="00CF5907">
        <w:rPr>
          <w:szCs w:val="22"/>
        </w:rPr>
        <w:t xml:space="preserve"> и Порядка и сроков 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 общественной территории, подлежащей благоустройству в 2017 году</w:t>
      </w:r>
      <w:r w:rsidRPr="004A5E35">
        <w:rPr>
          <w:color w:val="000000"/>
          <w:szCs w:val="28"/>
        </w:rPr>
        <w:t>»</w:t>
      </w:r>
    </w:p>
    <w:p w:rsidR="0028731C" w:rsidRPr="004A5E35" w:rsidRDefault="0028731C" w:rsidP="0028731C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28731C" w:rsidRPr="004A5E35" w:rsidTr="003973C9">
        <w:tc>
          <w:tcPr>
            <w:tcW w:w="4928" w:type="dxa"/>
            <w:vAlign w:val="center"/>
          </w:tcPr>
          <w:p w:rsidR="0028731C" w:rsidRPr="004A5E35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8731C" w:rsidRPr="004A5E35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28731C" w:rsidRPr="004A5E35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8731C" w:rsidRPr="004A5E35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28731C" w:rsidRPr="004A5E35" w:rsidTr="003973C9">
        <w:trPr>
          <w:trHeight w:val="966"/>
        </w:trPr>
        <w:tc>
          <w:tcPr>
            <w:tcW w:w="4928" w:type="dxa"/>
            <w:vAlign w:val="center"/>
          </w:tcPr>
          <w:p w:rsidR="0028731C" w:rsidRPr="004A5E35" w:rsidRDefault="0028731C" w:rsidP="003973C9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28731C" w:rsidRPr="004A5E35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4A5E35" w:rsidRDefault="0028731C" w:rsidP="00397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28731C" w:rsidRPr="004A5E35" w:rsidTr="003973C9">
        <w:trPr>
          <w:trHeight w:val="966"/>
        </w:trPr>
        <w:tc>
          <w:tcPr>
            <w:tcW w:w="4928" w:type="dxa"/>
            <w:vAlign w:val="center"/>
          </w:tcPr>
          <w:p w:rsidR="0028731C" w:rsidRPr="004A5E35" w:rsidRDefault="0028731C" w:rsidP="003973C9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28731C" w:rsidRPr="004A5E35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4A5E35" w:rsidRDefault="0028731C" w:rsidP="003973C9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28731C" w:rsidRPr="004A5E35" w:rsidRDefault="0028731C" w:rsidP="0028731C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873D1F" w:rsidRDefault="0028731C" w:rsidP="00233E0A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№1</w:t>
      </w:r>
    </w:p>
    <w:p w:rsidR="00AF47E9" w:rsidRPr="00873D1F" w:rsidRDefault="00B53990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постановлением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 w:rsidR="00664C01" w:rsidRPr="00873D1F">
        <w:rPr>
          <w:szCs w:val="28"/>
        </w:rPr>
        <w:t>___</w:t>
      </w:r>
      <w:r w:rsidRPr="00873D1F">
        <w:rPr>
          <w:szCs w:val="28"/>
        </w:rPr>
        <w:t>»</w:t>
      </w:r>
      <w:r w:rsidR="00113D6F" w:rsidRPr="00873D1F">
        <w:rPr>
          <w:szCs w:val="28"/>
        </w:rPr>
        <w:t xml:space="preserve"> </w:t>
      </w:r>
      <w:r w:rsidR="00664C01" w:rsidRPr="00873D1F">
        <w:rPr>
          <w:szCs w:val="28"/>
        </w:rPr>
        <w:t>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664C01" w:rsidRPr="00873D1F">
        <w:rPr>
          <w:szCs w:val="28"/>
        </w:rPr>
        <w:t>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AF47E9" w:rsidRPr="00873D1F" w:rsidRDefault="00FE7689" w:rsidP="00233E0A">
      <w:pPr>
        <w:jc w:val="center"/>
        <w:rPr>
          <w:b/>
          <w:szCs w:val="28"/>
        </w:rPr>
      </w:pPr>
      <w:r w:rsidRPr="00FE7689">
        <w:rPr>
          <w:b/>
          <w:szCs w:val="28"/>
        </w:rPr>
        <w:t xml:space="preserve">Положение об общественной комиссии городского округа Кинель Самарской области </w:t>
      </w:r>
      <w:r w:rsidR="00950A13" w:rsidRPr="00950A13">
        <w:rPr>
          <w:b/>
          <w:szCs w:val="28"/>
        </w:rPr>
        <w:t xml:space="preserve">по обеспечению реализации </w:t>
      </w:r>
      <w:r w:rsidRPr="00FE7689">
        <w:rPr>
          <w:b/>
          <w:szCs w:val="28"/>
        </w:rPr>
        <w:t>муниципальн</w:t>
      </w:r>
      <w:r w:rsidR="0028731C">
        <w:rPr>
          <w:b/>
          <w:szCs w:val="28"/>
        </w:rPr>
        <w:t xml:space="preserve">ой </w:t>
      </w:r>
      <w:r w:rsidRPr="00FE7689">
        <w:rPr>
          <w:b/>
          <w:szCs w:val="28"/>
        </w:rPr>
        <w:t>программ</w:t>
      </w:r>
      <w:r w:rsidR="0028731C">
        <w:rPr>
          <w:b/>
          <w:szCs w:val="28"/>
        </w:rPr>
        <w:t>ы</w:t>
      </w:r>
      <w:r w:rsidRPr="00FE7689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28731C">
        <w:rPr>
          <w:b/>
          <w:szCs w:val="28"/>
        </w:rPr>
        <w:t>»</w:t>
      </w:r>
    </w:p>
    <w:p w:rsidR="00C23739" w:rsidRPr="00873D1F" w:rsidRDefault="00C23739" w:rsidP="00233E0A">
      <w:pPr>
        <w:jc w:val="both"/>
        <w:rPr>
          <w:szCs w:val="28"/>
        </w:rPr>
      </w:pPr>
    </w:p>
    <w:p w:rsidR="00FE7689" w:rsidRDefault="00FE7689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общественной комиссии городского округа Кинель Самарской области </w:t>
      </w:r>
      <w:r w:rsidR="00950A13" w:rsidRPr="00950A13">
        <w:rPr>
          <w:rFonts w:ascii="Times New Roman" w:hAnsi="Times New Roman" w:cs="Times New Roman"/>
          <w:sz w:val="28"/>
          <w:szCs w:val="28"/>
        </w:rPr>
        <w:t xml:space="preserve">по обеспечению реализации </w:t>
      </w:r>
      <w:r w:rsidRPr="00FE7689">
        <w:rPr>
          <w:rFonts w:ascii="Times New Roman" w:hAnsi="Times New Roman" w:cs="Times New Roman"/>
          <w:sz w:val="28"/>
          <w:szCs w:val="28"/>
        </w:rPr>
        <w:t>муниципальн</w:t>
      </w:r>
      <w:r w:rsidR="0028731C">
        <w:rPr>
          <w:rFonts w:ascii="Times New Roman" w:hAnsi="Times New Roman" w:cs="Times New Roman"/>
          <w:sz w:val="28"/>
          <w:szCs w:val="28"/>
        </w:rPr>
        <w:t xml:space="preserve">ой </w:t>
      </w:r>
      <w:r w:rsidRPr="00FE7689">
        <w:rPr>
          <w:rFonts w:ascii="Times New Roman" w:hAnsi="Times New Roman" w:cs="Times New Roman"/>
          <w:sz w:val="28"/>
          <w:szCs w:val="28"/>
        </w:rPr>
        <w:t>программ</w:t>
      </w:r>
      <w:r w:rsidR="0028731C">
        <w:rPr>
          <w:rFonts w:ascii="Times New Roman" w:hAnsi="Times New Roman" w:cs="Times New Roman"/>
          <w:sz w:val="28"/>
          <w:szCs w:val="28"/>
        </w:rPr>
        <w:t>ы</w:t>
      </w:r>
      <w:r w:rsidRPr="00FE768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28731C">
        <w:rPr>
          <w:rFonts w:ascii="Times New Roman" w:hAnsi="Times New Roman" w:cs="Times New Roman"/>
          <w:sz w:val="28"/>
          <w:szCs w:val="28"/>
        </w:rPr>
        <w:t>»</w:t>
      </w:r>
      <w:r w:rsidRPr="00FE768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Pr="00FE76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689" w:rsidRDefault="00FE7689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>В своей деятельности Общественная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Самарской области, Уставом городского округа Кинель Самарской области, иными муниципальными правовыми актами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689" w:rsidRDefault="00FE7689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</w:t>
      </w:r>
      <w:r w:rsidRPr="00FE7689">
        <w:rPr>
          <w:rFonts w:ascii="Times New Roman" w:hAnsi="Times New Roman" w:cs="Times New Roman"/>
          <w:sz w:val="28"/>
          <w:szCs w:val="28"/>
        </w:rPr>
        <w:t>омиссия создается и упраздняется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области.</w:t>
      </w:r>
    </w:p>
    <w:p w:rsidR="00FE7689" w:rsidRDefault="00FE7689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 xml:space="preserve">В сфере своей компетенции </w:t>
      </w:r>
      <w:r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Pr="00FE7689">
        <w:rPr>
          <w:rFonts w:ascii="Times New Roman" w:hAnsi="Times New Roman" w:cs="Times New Roman"/>
          <w:sz w:val="28"/>
          <w:szCs w:val="28"/>
        </w:rPr>
        <w:t>:</w:t>
      </w:r>
    </w:p>
    <w:p w:rsidR="00260554" w:rsidRDefault="00D56896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554">
        <w:rPr>
          <w:rFonts w:ascii="Times New Roman" w:hAnsi="Times New Roman" w:cs="Times New Roman"/>
          <w:sz w:val="28"/>
          <w:szCs w:val="28"/>
        </w:rPr>
        <w:t xml:space="preserve">роводит общественной обсуждение проекта муниципальной программы городского округа Кинель Самарской области </w:t>
      </w:r>
      <w:r w:rsidR="00260554" w:rsidRPr="0026055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городском округе Кинель Самарской области на 2017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554">
        <w:rPr>
          <w:rFonts w:ascii="Times New Roman" w:hAnsi="Times New Roman" w:cs="Times New Roman"/>
          <w:sz w:val="28"/>
          <w:szCs w:val="28"/>
        </w:rPr>
        <w:t>.</w:t>
      </w:r>
    </w:p>
    <w:p w:rsidR="00FE7689" w:rsidRDefault="00FE7689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>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689" w:rsidRPr="00FE7689" w:rsidRDefault="00FE7689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FE7689" w:rsidRPr="00FE7689" w:rsidRDefault="00FE7689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>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FE7689" w:rsidRPr="00FE7689" w:rsidRDefault="00FE7689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689">
        <w:rPr>
          <w:rFonts w:ascii="Times New Roman" w:hAnsi="Times New Roman" w:cs="Times New Roman"/>
          <w:sz w:val="28"/>
          <w:szCs w:val="28"/>
        </w:rPr>
        <w:t xml:space="preserve">рассматривает и утверждает дизайн-проект благоустройства </w:t>
      </w:r>
      <w:r w:rsidR="005D68D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FE7689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FE7689" w:rsidRDefault="00FE7689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проводит оценку предложений заинтересованных лиц к проекту </w:t>
      </w:r>
      <w:r w:rsidR="005D68D1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lastRenderedPageBreak/>
        <w:t xml:space="preserve">Состав Общественной комиссии формируется из представителей органов местного самоуправления, политических партий и движений,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иных лиц.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Руководство деятельностью Общественной комиссии осуществляет председатель комиссии. В случае его отсутствия обязанности председателя исполняет заместитель председателя Общественной комиссии.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5D68D1">
        <w:rPr>
          <w:rFonts w:ascii="Times New Roman" w:hAnsi="Times New Roman" w:cs="Times New Roman"/>
          <w:sz w:val="28"/>
          <w:szCs w:val="28"/>
        </w:rPr>
        <w:t>: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обеспечивает выполнение полномочий и реализацию прав Общественной комиссии, исполнение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5D68D1">
        <w:rPr>
          <w:rFonts w:ascii="Times New Roman" w:hAnsi="Times New Roman" w:cs="Times New Roman"/>
          <w:sz w:val="28"/>
          <w:szCs w:val="28"/>
        </w:rPr>
        <w:t>возложенных обязанностей;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руководит деятельностью Общественной комиссии;</w:t>
      </w:r>
    </w:p>
    <w:p w:rsid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организует и координирует работу Общественной комиссии;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 и предложений.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Общественной комиссии: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оповещает членов Общественной комиссии о времени и месте проведения заседаний;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осуществляет делопроизводство в Общественной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8D1" w:rsidRPr="005D68D1" w:rsidRDefault="005D68D1" w:rsidP="00D56896">
      <w:pPr>
        <w:pStyle w:val="aa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ведет, оформляет протоколы заседаний Общественной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Заседания Общественной комиссии про</w:t>
      </w:r>
      <w:r>
        <w:rPr>
          <w:rFonts w:ascii="Times New Roman" w:hAnsi="Times New Roman" w:cs="Times New Roman"/>
          <w:sz w:val="28"/>
          <w:szCs w:val="28"/>
        </w:rPr>
        <w:t>водятся по мере необходимости.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Члены Общественной комиссии должны присутствовать на заседаниях лично. В случае невозможности присутствия члена Общественной комиссии на заседании по уважительным причинам он вправе с согласия председателя Общественной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Общественной комиссии права голоса. 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Заседания Общественной комиссии считаются правомочным, если на нем присутствуют не менее половины её членов.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Решение Общественной комиссии принимается открытым голосованием простым большинством голосов от числа присутствующих членов Общественной комиссии. Каждый член Общественной комиссии обладает правом одного голоса. При равенстве голосов голос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D68D1">
        <w:rPr>
          <w:rFonts w:ascii="Times New Roman" w:hAnsi="Times New Roman" w:cs="Times New Roman"/>
          <w:sz w:val="28"/>
          <w:szCs w:val="28"/>
        </w:rPr>
        <w:t xml:space="preserve">Общественной комиссии является решающим. 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>Решения Общественной комиссии оформляются протоколом, подписываемым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5D68D1">
        <w:rPr>
          <w:rFonts w:ascii="Times New Roman" w:hAnsi="Times New Roman" w:cs="Times New Roman"/>
          <w:sz w:val="28"/>
          <w:szCs w:val="28"/>
        </w:rPr>
        <w:t>Общественной комиссии и секретарем.</w:t>
      </w:r>
    </w:p>
    <w:p w:rsidR="005D68D1" w:rsidRPr="005D68D1" w:rsidRDefault="005D68D1" w:rsidP="00D56896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8D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333AF" w:rsidRPr="00F333AF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Pr="005D68D1">
        <w:rPr>
          <w:rFonts w:ascii="Times New Roman" w:hAnsi="Times New Roman" w:cs="Times New Roman"/>
          <w:sz w:val="28"/>
          <w:szCs w:val="28"/>
        </w:rPr>
        <w:t xml:space="preserve">не позднее 2 рабочих дней после проведения заседания Комиссии размещается на </w:t>
      </w:r>
      <w:r w:rsidR="00F333AF" w:rsidRPr="00F333AF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Pr="005D68D1">
        <w:rPr>
          <w:rFonts w:ascii="Times New Roman" w:hAnsi="Times New Roman" w:cs="Times New Roman"/>
          <w:sz w:val="28"/>
          <w:szCs w:val="28"/>
        </w:rPr>
        <w:t>.</w:t>
      </w:r>
    </w:p>
    <w:p w:rsidR="00233E0A" w:rsidRDefault="00233E0A" w:rsidP="00D56896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23739" w:rsidRPr="00233E0A" w:rsidRDefault="00C23739" w:rsidP="00233E0A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3E0A">
        <w:rPr>
          <w:rFonts w:ascii="Times New Roman" w:hAnsi="Times New Roman"/>
          <w:sz w:val="28"/>
          <w:szCs w:val="28"/>
        </w:rPr>
        <w:br w:type="page"/>
      </w:r>
    </w:p>
    <w:p w:rsidR="00F333AF" w:rsidRPr="00873D1F" w:rsidRDefault="00D56896" w:rsidP="00F333AF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№2</w:t>
      </w:r>
    </w:p>
    <w:p w:rsidR="00F333AF" w:rsidRPr="00873D1F" w:rsidRDefault="00F333AF" w:rsidP="00F333AF">
      <w:pPr>
        <w:ind w:left="5103"/>
        <w:jc w:val="center"/>
        <w:rPr>
          <w:szCs w:val="28"/>
        </w:rPr>
      </w:pPr>
      <w:r w:rsidRPr="00873D1F">
        <w:rPr>
          <w:szCs w:val="28"/>
        </w:rPr>
        <w:t>постановлением 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F333AF" w:rsidRPr="00873D1F" w:rsidRDefault="00F333AF" w:rsidP="00F333AF">
      <w:pPr>
        <w:ind w:left="5103"/>
        <w:jc w:val="center"/>
        <w:rPr>
          <w:szCs w:val="28"/>
        </w:rPr>
      </w:pPr>
      <w:r w:rsidRPr="00873D1F">
        <w:rPr>
          <w:szCs w:val="28"/>
        </w:rPr>
        <w:t>от «___» _________ № _____</w:t>
      </w:r>
    </w:p>
    <w:p w:rsidR="007C7AC9" w:rsidRPr="00873D1F" w:rsidRDefault="007C7AC9" w:rsidP="00873D1F">
      <w:pPr>
        <w:ind w:firstLine="720"/>
        <w:jc w:val="both"/>
        <w:rPr>
          <w:szCs w:val="28"/>
        </w:rPr>
      </w:pPr>
    </w:p>
    <w:p w:rsidR="007C7AC9" w:rsidRPr="00873D1F" w:rsidRDefault="007C7AC9" w:rsidP="00873D1F">
      <w:pPr>
        <w:ind w:firstLine="720"/>
        <w:jc w:val="both"/>
        <w:rPr>
          <w:szCs w:val="28"/>
        </w:rPr>
      </w:pPr>
    </w:p>
    <w:p w:rsidR="007C7AC9" w:rsidRPr="00873D1F" w:rsidRDefault="00873D1F" w:rsidP="00233E0A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 w:rsidR="00D56896">
        <w:rPr>
          <w:b/>
          <w:szCs w:val="28"/>
        </w:rPr>
        <w:t xml:space="preserve"> </w:t>
      </w:r>
      <w:r w:rsidRPr="00873D1F">
        <w:rPr>
          <w:b/>
          <w:szCs w:val="28"/>
        </w:rPr>
        <w:t xml:space="preserve">общественной комиссии городского округа Кинель Самарской области </w:t>
      </w:r>
      <w:r w:rsidR="00950A13"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 w:rsidR="00D56896"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 w:rsidR="00D56896"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</w:t>
      </w:r>
      <w:r w:rsidR="00D56896">
        <w:rPr>
          <w:b/>
          <w:szCs w:val="28"/>
        </w:rPr>
        <w:t>»</w:t>
      </w:r>
    </w:p>
    <w:p w:rsidR="00873D1F" w:rsidRDefault="00873D1F" w:rsidP="00873D1F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873D1F" w:rsidRPr="00873D1F" w:rsidTr="00D56896">
        <w:tc>
          <w:tcPr>
            <w:tcW w:w="266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Чихирев</w:t>
            </w:r>
            <w:r w:rsidR="001358AC">
              <w:rPr>
                <w:szCs w:val="28"/>
              </w:rPr>
              <w:t xml:space="preserve"> В.А.</w:t>
            </w:r>
          </w:p>
        </w:tc>
        <w:tc>
          <w:tcPr>
            <w:tcW w:w="691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Глава городского округа Кинель Самарской области, председатель комиссии</w:t>
            </w: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Федотов С.Н.</w:t>
            </w:r>
          </w:p>
        </w:tc>
        <w:tc>
          <w:tcPr>
            <w:tcW w:w="691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Заместитель Главы городского округа Кинель Самарской области, заместитель председателя комиссии</w:t>
            </w: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CA601E" w:rsidP="00CA6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873D1F" w:rsidRPr="00873D1F" w:rsidRDefault="00CA601E" w:rsidP="00CA6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МКУ г.о.Кинель Самарской области «Управление жилищно-коммунального хозяйства Самарской области »</w:t>
            </w:r>
            <w:r w:rsidR="00873D1F" w:rsidRPr="00873D1F">
              <w:rPr>
                <w:szCs w:val="28"/>
              </w:rPr>
              <w:t>, секретарь комиссии</w:t>
            </w: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873D1F" w:rsidRPr="00873D1F" w:rsidRDefault="00873D1F" w:rsidP="00233E0A">
            <w:pPr>
              <w:jc w:val="both"/>
              <w:rPr>
                <w:szCs w:val="28"/>
              </w:rPr>
            </w:pPr>
          </w:p>
        </w:tc>
      </w:tr>
      <w:tr w:rsidR="0022373C" w:rsidRPr="00873D1F" w:rsidTr="003973C9">
        <w:tc>
          <w:tcPr>
            <w:tcW w:w="2660" w:type="dxa"/>
          </w:tcPr>
          <w:p w:rsidR="0022373C" w:rsidRPr="00873D1F" w:rsidRDefault="0022373C" w:rsidP="003973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Ускова А.А.</w:t>
            </w:r>
          </w:p>
        </w:tc>
        <w:tc>
          <w:tcPr>
            <w:tcW w:w="6910" w:type="dxa"/>
          </w:tcPr>
          <w:p w:rsidR="0022373C" w:rsidRPr="00873D1F" w:rsidRDefault="0022373C" w:rsidP="003973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местного отделения городского округа Кинель Самарской области ВПП «Единая Россия»</w:t>
            </w:r>
          </w:p>
        </w:tc>
      </w:tr>
      <w:tr w:rsidR="009F7CAE" w:rsidRPr="00873D1F" w:rsidTr="00D56896">
        <w:tc>
          <w:tcPr>
            <w:tcW w:w="2660" w:type="dxa"/>
          </w:tcPr>
          <w:p w:rsidR="009F7CAE" w:rsidRPr="00873D1F" w:rsidRDefault="009F7CAE" w:rsidP="009B50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 С.В.</w:t>
            </w:r>
          </w:p>
        </w:tc>
        <w:tc>
          <w:tcPr>
            <w:tcW w:w="6910" w:type="dxa"/>
          </w:tcPr>
          <w:p w:rsidR="009F7CAE" w:rsidRPr="00873D1F" w:rsidRDefault="009F7CAE" w:rsidP="00CA6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Усть-Кинельского ТУ</w:t>
            </w:r>
          </w:p>
        </w:tc>
      </w:tr>
      <w:tr w:rsidR="0022373C" w:rsidRPr="00873D1F" w:rsidTr="003973C9">
        <w:tc>
          <w:tcPr>
            <w:tcW w:w="2660" w:type="dxa"/>
          </w:tcPr>
          <w:p w:rsidR="0022373C" w:rsidRPr="00873D1F" w:rsidRDefault="0022373C" w:rsidP="003973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Осипов С.В.</w:t>
            </w:r>
          </w:p>
        </w:tc>
        <w:tc>
          <w:tcPr>
            <w:tcW w:w="6910" w:type="dxa"/>
          </w:tcPr>
          <w:p w:rsidR="0022373C" w:rsidRPr="00873D1F" w:rsidRDefault="0022373C" w:rsidP="003973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Алексеевского ТУ</w:t>
            </w:r>
          </w:p>
        </w:tc>
      </w:tr>
      <w:tr w:rsidR="009F7CAE" w:rsidRPr="00873D1F" w:rsidTr="00D56896">
        <w:tc>
          <w:tcPr>
            <w:tcW w:w="2660" w:type="dxa"/>
          </w:tcPr>
          <w:p w:rsidR="009F7CAE" w:rsidRPr="00873D1F" w:rsidRDefault="009F7CAE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Нижегородов В.Г.</w:t>
            </w:r>
          </w:p>
        </w:tc>
        <w:tc>
          <w:tcPr>
            <w:tcW w:w="6910" w:type="dxa"/>
          </w:tcPr>
          <w:p w:rsidR="009F7CAE" w:rsidRPr="00873D1F" w:rsidRDefault="0022373C" w:rsidP="001358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9F7CAE" w:rsidRPr="00CA601E">
              <w:rPr>
                <w:szCs w:val="28"/>
              </w:rPr>
              <w:t>иректор МКУ г.о.Кинель Самарской области «Управление жилищно-коммунального хозяйства»</w:t>
            </w:r>
          </w:p>
        </w:tc>
      </w:tr>
      <w:tr w:rsidR="009F7CAE" w:rsidRPr="00873D1F" w:rsidTr="00D56896">
        <w:tc>
          <w:tcPr>
            <w:tcW w:w="2660" w:type="dxa"/>
          </w:tcPr>
          <w:p w:rsidR="009F7CAE" w:rsidRPr="00873D1F" w:rsidRDefault="009F7CAE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Слезко А.Г.</w:t>
            </w:r>
          </w:p>
        </w:tc>
        <w:tc>
          <w:tcPr>
            <w:tcW w:w="6910" w:type="dxa"/>
          </w:tcPr>
          <w:p w:rsidR="009F7CAE" w:rsidRPr="00873D1F" w:rsidRDefault="009F7CAE" w:rsidP="001358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1358AC">
              <w:rPr>
                <w:szCs w:val="28"/>
              </w:rPr>
              <w:t>Обособленной Кинельской городской организации ветеранов (пенсионеров) войны, труда, вооруженных сил и правоохранительных органов</w:t>
            </w: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9F7CAE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  <w:tc>
          <w:tcPr>
            <w:tcW w:w="6910" w:type="dxa"/>
          </w:tcPr>
          <w:p w:rsidR="00873D1F" w:rsidRPr="00873D1F" w:rsidRDefault="009F7CAE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873D1F" w:rsidRPr="00873D1F" w:rsidTr="00D56896">
        <w:tc>
          <w:tcPr>
            <w:tcW w:w="2660" w:type="dxa"/>
          </w:tcPr>
          <w:p w:rsidR="00873D1F" w:rsidRPr="00873D1F" w:rsidRDefault="009F7CAE" w:rsidP="008700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Александров </w:t>
            </w:r>
            <w:r w:rsidR="008700FE">
              <w:rPr>
                <w:szCs w:val="28"/>
              </w:rPr>
              <w:t>В.А.</w:t>
            </w:r>
          </w:p>
        </w:tc>
        <w:tc>
          <w:tcPr>
            <w:tcW w:w="6910" w:type="dxa"/>
          </w:tcPr>
          <w:p w:rsidR="00873D1F" w:rsidRPr="00873D1F" w:rsidRDefault="008700FE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архитектуры – архитектор</w:t>
            </w:r>
          </w:p>
        </w:tc>
      </w:tr>
      <w:tr w:rsidR="00E740EF" w:rsidRPr="00873D1F" w:rsidTr="00D56896">
        <w:tc>
          <w:tcPr>
            <w:tcW w:w="2660" w:type="dxa"/>
          </w:tcPr>
          <w:p w:rsidR="00E740EF" w:rsidRDefault="00E740EF" w:rsidP="008700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E740EF" w:rsidRDefault="00E740EF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«Евгриф»</w:t>
            </w:r>
          </w:p>
        </w:tc>
      </w:tr>
      <w:tr w:rsidR="00E740EF" w:rsidRPr="00873D1F" w:rsidTr="00D56896">
        <w:tc>
          <w:tcPr>
            <w:tcW w:w="2660" w:type="dxa"/>
          </w:tcPr>
          <w:p w:rsidR="00E740EF" w:rsidRDefault="00E740EF" w:rsidP="008700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Абдулселимов Р.А.</w:t>
            </w:r>
          </w:p>
        </w:tc>
        <w:tc>
          <w:tcPr>
            <w:tcW w:w="6910" w:type="dxa"/>
          </w:tcPr>
          <w:p w:rsidR="00E740EF" w:rsidRDefault="00E740EF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«Рустеп»</w:t>
            </w:r>
          </w:p>
        </w:tc>
      </w:tr>
      <w:tr w:rsidR="00E740EF" w:rsidRPr="00873D1F" w:rsidTr="00D56896">
        <w:tc>
          <w:tcPr>
            <w:tcW w:w="2660" w:type="dxa"/>
          </w:tcPr>
          <w:p w:rsidR="00E740EF" w:rsidRDefault="00E740EF" w:rsidP="008700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Петлин В.М.</w:t>
            </w:r>
          </w:p>
        </w:tc>
        <w:tc>
          <w:tcPr>
            <w:tcW w:w="6910" w:type="dxa"/>
          </w:tcPr>
          <w:p w:rsidR="00E740EF" w:rsidRDefault="00E740EF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«Комплекс-Сервис»</w:t>
            </w:r>
          </w:p>
        </w:tc>
      </w:tr>
      <w:tr w:rsidR="00E740EF" w:rsidRPr="00873D1F" w:rsidTr="00D56896">
        <w:tc>
          <w:tcPr>
            <w:tcW w:w="2660" w:type="dxa"/>
          </w:tcPr>
          <w:p w:rsidR="00E740EF" w:rsidRDefault="00E740EF" w:rsidP="008700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E740EF" w:rsidRDefault="00E740EF" w:rsidP="00233E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«Жилсервис»</w:t>
            </w:r>
          </w:p>
        </w:tc>
      </w:tr>
    </w:tbl>
    <w:p w:rsidR="00873D1F" w:rsidRPr="00873D1F" w:rsidRDefault="00873D1F" w:rsidP="00873D1F">
      <w:pPr>
        <w:ind w:firstLine="720"/>
        <w:jc w:val="both"/>
        <w:rPr>
          <w:szCs w:val="28"/>
        </w:rPr>
      </w:pPr>
    </w:p>
    <w:sectPr w:rsidR="00873D1F" w:rsidRPr="00873D1F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E1" w:rsidRDefault="00B236E1" w:rsidP="00F04F24">
      <w:r>
        <w:separator/>
      </w:r>
    </w:p>
  </w:endnote>
  <w:endnote w:type="continuationSeparator" w:id="0">
    <w:p w:rsidR="00B236E1" w:rsidRDefault="00B236E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E1" w:rsidRDefault="00B236E1" w:rsidP="00F04F24">
      <w:r>
        <w:separator/>
      </w:r>
    </w:p>
  </w:footnote>
  <w:footnote w:type="continuationSeparator" w:id="0">
    <w:p w:rsidR="00B236E1" w:rsidRDefault="00B236E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0554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8D1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4C8E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CA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14AF"/>
    <w:rsid w:val="00C91EA4"/>
    <w:rsid w:val="00C95092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575A-E4C4-4DDD-BF67-2CA0ECE1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7194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316</cp:revision>
  <cp:lastPrinted>2017-05-24T08:12:00Z</cp:lastPrinted>
  <dcterms:created xsi:type="dcterms:W3CDTF">2010-04-06T11:13:00Z</dcterms:created>
  <dcterms:modified xsi:type="dcterms:W3CDTF">2017-05-24T08:27:00Z</dcterms:modified>
</cp:coreProperties>
</file>