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6"/>
        <w:gridCol w:w="710"/>
        <w:gridCol w:w="4334"/>
      </w:tblGrid>
      <w:tr w:rsidR="002D3A61" w:rsidTr="002D3A61">
        <w:tc>
          <w:tcPr>
            <w:tcW w:w="4253" w:type="dxa"/>
          </w:tcPr>
          <w:p w:rsidR="002D3A61" w:rsidRDefault="002D3A61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  <w:p w:rsidR="002D3A61" w:rsidRDefault="002D3A61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область</w:t>
            </w:r>
          </w:p>
          <w:p w:rsidR="002D3A61" w:rsidRDefault="002D3A61">
            <w:pPr>
              <w:ind w:left="34"/>
              <w:jc w:val="center"/>
            </w:pPr>
          </w:p>
          <w:p w:rsidR="002D3A61" w:rsidRDefault="002D3A61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2D3A61" w:rsidRDefault="002D3A61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городского округа Кинель</w:t>
            </w:r>
          </w:p>
          <w:p w:rsidR="002D3A61" w:rsidRDefault="002D3A61">
            <w:pPr>
              <w:ind w:left="34"/>
              <w:jc w:val="center"/>
              <w:rPr>
                <w:sz w:val="18"/>
              </w:rPr>
            </w:pPr>
          </w:p>
          <w:p w:rsidR="002D3A61" w:rsidRDefault="002D3A61">
            <w:pPr>
              <w:ind w:left="34"/>
              <w:jc w:val="center"/>
              <w:rPr>
                <w:sz w:val="18"/>
              </w:rPr>
            </w:pPr>
          </w:p>
          <w:p w:rsidR="002D3A61" w:rsidRDefault="002D3A61">
            <w:pPr>
              <w:pStyle w:val="1"/>
              <w:ind w:left="34" w:firstLine="0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2D3A61" w:rsidRDefault="002D3A61">
            <w:pPr>
              <w:ind w:left="34"/>
              <w:jc w:val="center"/>
            </w:pPr>
          </w:p>
          <w:p w:rsidR="002D3A61" w:rsidRDefault="002D3A6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  <w:lang w:val="en-US"/>
              </w:rPr>
              <w:t xml:space="preserve">                   </w:t>
            </w:r>
            <w:r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</w:rPr>
              <w:t>№</w:t>
            </w:r>
            <w:r>
              <w:rPr>
                <w:szCs w:val="28"/>
                <w:lang w:val="en-US"/>
              </w:rPr>
              <w:t>_______</w:t>
            </w:r>
          </w:p>
          <w:p w:rsidR="002D3A61" w:rsidRDefault="002D3A61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5040" w:type="dxa"/>
            <w:gridSpan w:val="2"/>
          </w:tcPr>
          <w:p w:rsidR="002D3A61" w:rsidRDefault="002D1933">
            <w:pPr>
              <w:jc w:val="right"/>
            </w:pPr>
            <w:r>
              <w:t>ПРОЕКТ</w:t>
            </w:r>
          </w:p>
        </w:tc>
      </w:tr>
      <w:tr w:rsidR="002D3A61" w:rsidTr="002D3A61">
        <w:trPr>
          <w:gridAfter w:val="1"/>
          <w:wAfter w:w="4331" w:type="dxa"/>
          <w:trHeight w:val="375"/>
        </w:trPr>
        <w:tc>
          <w:tcPr>
            <w:tcW w:w="4962" w:type="dxa"/>
            <w:gridSpan w:val="2"/>
            <w:hideMark/>
          </w:tcPr>
          <w:p w:rsidR="002D3A61" w:rsidRDefault="002D3A61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Самарской области от 30 сентября 2013 № 2879 (в редакции от 13 марта 2018)</w:t>
            </w:r>
          </w:p>
        </w:tc>
      </w:tr>
    </w:tbl>
    <w:p w:rsidR="002D3A61" w:rsidRDefault="002D3A61" w:rsidP="002D3A61">
      <w:pPr>
        <w:pStyle w:val="3"/>
        <w:shd w:val="clear" w:color="auto" w:fill="auto"/>
        <w:spacing w:before="0" w:after="0" w:line="240" w:lineRule="auto"/>
        <w:ind w:right="20" w:firstLine="680"/>
        <w:rPr>
          <w:rFonts w:eastAsia="Calibri"/>
          <w:spacing w:val="0"/>
          <w:sz w:val="28"/>
          <w:szCs w:val="28"/>
        </w:rPr>
      </w:pPr>
    </w:p>
    <w:p w:rsidR="002D3A61" w:rsidRDefault="002D3A61" w:rsidP="002D3A61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городского округа Кинель Самарской области от 20 августа 2018 № 377 «О внесении изменений в решение Думы городского округа Кинель Самарской области от 12 декабря 2017 № 317 «О бюджете городского округа Кинель Самарской области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2018 год и на плановые период 2019 и 2020 годов» (с изменениями от 25.01.2018 г. № 328, от 01.03.2018 г. № 333, от 29.03.2018 г. № 337, от 10.04.201 г. № 341, от 31.05.2018 г. № 351, от 28.06.2018 г. № 360, от 10.07.2018 г. № 367, от 26.07.2018 г. № 371, от 20.08.2018 г. № 377)</w:t>
      </w:r>
    </w:p>
    <w:p w:rsidR="002D3A61" w:rsidRDefault="002D3A61" w:rsidP="002D3A61">
      <w:pPr>
        <w:spacing w:before="120" w:after="120" w:line="360" w:lineRule="auto"/>
        <w:jc w:val="center"/>
        <w:rPr>
          <w:szCs w:val="28"/>
        </w:rPr>
      </w:pPr>
      <w:r>
        <w:rPr>
          <w:szCs w:val="28"/>
        </w:rPr>
        <w:t>ПОСТАНОВЛЯЮ:</w:t>
      </w:r>
    </w:p>
    <w:p w:rsidR="002D3A61" w:rsidRDefault="002D3A61" w:rsidP="002D3A61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</w:t>
      </w:r>
      <w:r>
        <w:rPr>
          <w:szCs w:val="28"/>
        </w:rPr>
        <w:lastRenderedPageBreak/>
        <w:t>округа Кинель Самарской области от 30 сентября 2013 № 2879 (в редакции от 13 марта 2018) следующие изменения:</w:t>
      </w:r>
    </w:p>
    <w:p w:rsidR="002D3A61" w:rsidRDefault="002D3A61" w:rsidP="002D3A61">
      <w:pPr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паспорте муниципальной программы </w:t>
      </w:r>
      <w:r>
        <w:rPr>
          <w:rStyle w:val="a6"/>
          <w:b w:val="0"/>
          <w:bCs/>
          <w:color w:val="auto"/>
          <w:szCs w:val="28"/>
        </w:rPr>
        <w:t>сумму «</w:t>
      </w:r>
      <w:r>
        <w:rPr>
          <w:szCs w:val="28"/>
        </w:rPr>
        <w:t>368929,917» заменить суммой «431213,417», сумму «17737,124</w:t>
      </w:r>
      <w:r>
        <w:t>»</w:t>
      </w:r>
      <w:r>
        <w:rPr>
          <w:rStyle w:val="a6"/>
          <w:b w:val="0"/>
          <w:color w:val="auto"/>
          <w:szCs w:val="28"/>
        </w:rPr>
        <w:t xml:space="preserve"> заменить суммой </w:t>
      </w:r>
      <w:r>
        <w:rPr>
          <w:szCs w:val="28"/>
        </w:rPr>
        <w:t>«80020,624».</w:t>
      </w:r>
    </w:p>
    <w:p w:rsidR="002D3A61" w:rsidRDefault="002D3A61" w:rsidP="002D3A61">
      <w:pPr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разделе 5:</w:t>
      </w:r>
    </w:p>
    <w:p w:rsidR="002D3A61" w:rsidRDefault="002D3A61" w:rsidP="002D3A61">
      <w:pPr>
        <w:pStyle w:val="a3"/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bCs/>
          <w:szCs w:val="28"/>
        </w:rPr>
      </w:pPr>
      <w:r>
        <w:rPr>
          <w:rStyle w:val="a6"/>
          <w:b w:val="0"/>
          <w:bCs/>
          <w:color w:val="auto"/>
          <w:szCs w:val="28"/>
        </w:rPr>
        <w:t>В пункте 5.1. сумму «</w:t>
      </w:r>
      <w:r>
        <w:rPr>
          <w:rStyle w:val="a6"/>
          <w:b w:val="0"/>
          <w:bCs/>
          <w:color w:val="auto"/>
        </w:rPr>
        <w:t>198513,803» заменить суммой «198563,803», сумму «</w:t>
      </w:r>
      <w:r>
        <w:rPr>
          <w:szCs w:val="28"/>
        </w:rPr>
        <w:t>17737,124</w:t>
      </w:r>
      <w:r>
        <w:rPr>
          <w:rStyle w:val="a6"/>
          <w:b w:val="0"/>
          <w:bCs/>
          <w:color w:val="auto"/>
        </w:rPr>
        <w:t>»</w:t>
      </w:r>
      <w:r>
        <w:rPr>
          <w:rStyle w:val="a6"/>
          <w:b w:val="0"/>
          <w:bCs/>
          <w:color w:val="auto"/>
          <w:szCs w:val="28"/>
        </w:rPr>
        <w:t xml:space="preserve"> заменить суммой </w:t>
      </w:r>
      <w:r>
        <w:rPr>
          <w:rStyle w:val="a6"/>
          <w:b w:val="0"/>
          <w:bCs/>
          <w:color w:val="auto"/>
        </w:rPr>
        <w:t>«</w:t>
      </w:r>
      <w:r>
        <w:rPr>
          <w:szCs w:val="28"/>
        </w:rPr>
        <w:t>17787,124</w:t>
      </w:r>
      <w:r>
        <w:rPr>
          <w:rStyle w:val="a6"/>
          <w:b w:val="0"/>
          <w:bCs/>
          <w:color w:val="auto"/>
        </w:rPr>
        <w:t>».</w:t>
      </w:r>
    </w:p>
    <w:p w:rsidR="002D3A61" w:rsidRDefault="002D3A61" w:rsidP="002D3A61">
      <w:pPr>
        <w:pStyle w:val="a3"/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Таблицу 3 пункта 5.3. изложить в новой редакции согласно Приложению 1 к настоящему постановлению.</w:t>
      </w:r>
    </w:p>
    <w:p w:rsidR="002D3A61" w:rsidRDefault="002D3A61" w:rsidP="002D3A61">
      <w:pPr>
        <w:numPr>
          <w:ilvl w:val="1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Приложение № 1 к муниципальной программе изложить в новой редакции согласно Приложению 2 к настоящему постановлению.</w:t>
      </w:r>
    </w:p>
    <w:p w:rsidR="002D3A61" w:rsidRDefault="002D3A61" w:rsidP="002D3A61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газетах «Кинельская жизнь» или «Неделя Кинеля» и разместить в информационно-коммуникационной сети «Интернет» на официальном сайте администрации городского округа Кинель Самарской области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) в подразделе «Официальное опубликование» раздела «Информация».</w:t>
      </w:r>
    </w:p>
    <w:p w:rsidR="002D3A61" w:rsidRDefault="002D3A61" w:rsidP="002D3A61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2D3A61" w:rsidRDefault="002D3A61" w:rsidP="002D3A61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городского округа по жилищно-коммунальному хозяйству (Федотов С.Н.).</w:t>
      </w:r>
    </w:p>
    <w:p w:rsidR="002D3A61" w:rsidRDefault="002D3A61" w:rsidP="002D3A61">
      <w:pPr>
        <w:rPr>
          <w:szCs w:val="28"/>
        </w:rPr>
      </w:pPr>
    </w:p>
    <w:p w:rsidR="002D3A61" w:rsidRDefault="002D3A61" w:rsidP="002D3A61">
      <w:pPr>
        <w:rPr>
          <w:szCs w:val="28"/>
        </w:rPr>
      </w:pPr>
    </w:p>
    <w:p w:rsidR="002D3A61" w:rsidRDefault="002D3A61" w:rsidP="002D3A61">
      <w:pPr>
        <w:rPr>
          <w:szCs w:val="28"/>
        </w:rPr>
      </w:pPr>
    </w:p>
    <w:p w:rsidR="002D3A61" w:rsidRDefault="002D3A61" w:rsidP="002D3A61">
      <w:pPr>
        <w:rPr>
          <w:szCs w:val="28"/>
        </w:rPr>
      </w:pPr>
    </w:p>
    <w:p w:rsidR="002D3A61" w:rsidRDefault="002D3A61" w:rsidP="002D3A61">
      <w:pPr>
        <w:rPr>
          <w:szCs w:val="28"/>
        </w:rPr>
      </w:pPr>
    </w:p>
    <w:p w:rsidR="002D3A61" w:rsidRDefault="002D3A61" w:rsidP="002D3A61">
      <w:pPr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В.А.Чихирев</w:t>
      </w:r>
    </w:p>
    <w:p w:rsidR="002D3A61" w:rsidRDefault="002D3A61" w:rsidP="002D3A61">
      <w:pPr>
        <w:rPr>
          <w:szCs w:val="28"/>
        </w:rPr>
      </w:pPr>
    </w:p>
    <w:p w:rsidR="002D3A61" w:rsidRDefault="002D3A61" w:rsidP="002D3A61">
      <w:pPr>
        <w:rPr>
          <w:szCs w:val="28"/>
        </w:rPr>
      </w:pPr>
    </w:p>
    <w:p w:rsidR="002D3A61" w:rsidRDefault="002D3A61" w:rsidP="002D3A61">
      <w:pPr>
        <w:rPr>
          <w:szCs w:val="28"/>
        </w:rPr>
      </w:pPr>
    </w:p>
    <w:p w:rsidR="002D3A61" w:rsidRDefault="002D3A61" w:rsidP="002D3A61">
      <w:pPr>
        <w:rPr>
          <w:szCs w:val="28"/>
        </w:rPr>
      </w:pPr>
    </w:p>
    <w:p w:rsidR="002D3A61" w:rsidRDefault="002D3A61" w:rsidP="002D3A61">
      <w:pPr>
        <w:rPr>
          <w:szCs w:val="28"/>
        </w:rPr>
      </w:pPr>
    </w:p>
    <w:p w:rsidR="002D3A61" w:rsidRDefault="002D3A61" w:rsidP="002D3A61">
      <w:pPr>
        <w:jc w:val="both"/>
        <w:rPr>
          <w:szCs w:val="28"/>
        </w:rPr>
      </w:pPr>
      <w:r>
        <w:rPr>
          <w:szCs w:val="28"/>
        </w:rPr>
        <w:t>Савичева 63561</w:t>
      </w:r>
    </w:p>
    <w:tbl>
      <w:tblPr>
        <w:tblW w:w="9464" w:type="dxa"/>
        <w:tblLook w:val="01E0"/>
      </w:tblPr>
      <w:tblGrid>
        <w:gridCol w:w="5070"/>
        <w:gridCol w:w="4394"/>
      </w:tblGrid>
      <w:tr w:rsidR="002D3A61" w:rsidTr="002D3A61">
        <w:tc>
          <w:tcPr>
            <w:tcW w:w="5070" w:type="dxa"/>
          </w:tcPr>
          <w:p w:rsidR="002D3A61" w:rsidRDefault="002D3A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2D3A61" w:rsidRDefault="002D3A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 1</w:t>
            </w:r>
          </w:p>
          <w:p w:rsidR="002D3A61" w:rsidRDefault="002D3A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2D3A61" w:rsidRDefault="002D3A6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 </w:t>
            </w:r>
            <w:r>
              <w:rPr>
                <w:szCs w:val="28"/>
              </w:rPr>
              <w:t>№_______</w:t>
            </w:r>
          </w:p>
        </w:tc>
      </w:tr>
    </w:tbl>
    <w:p w:rsidR="002D3A61" w:rsidRDefault="002D3A61" w:rsidP="002D3A61">
      <w:pPr>
        <w:jc w:val="both"/>
        <w:rPr>
          <w:szCs w:val="28"/>
        </w:rPr>
      </w:pPr>
    </w:p>
    <w:p w:rsidR="002D3A61" w:rsidRDefault="002D3A61" w:rsidP="002D3A61">
      <w:pPr>
        <w:jc w:val="both"/>
        <w:rPr>
          <w:szCs w:val="28"/>
        </w:rPr>
      </w:pPr>
    </w:p>
    <w:p w:rsidR="002D3A61" w:rsidRDefault="002D3A61" w:rsidP="002D3A61">
      <w:pPr>
        <w:ind w:firstLine="698"/>
        <w:jc w:val="right"/>
        <w:rPr>
          <w:b/>
          <w:sz w:val="27"/>
          <w:szCs w:val="27"/>
        </w:rPr>
      </w:pPr>
      <w:r>
        <w:rPr>
          <w:rStyle w:val="a6"/>
          <w:b w:val="0"/>
          <w:bCs/>
          <w:color w:val="auto"/>
          <w:sz w:val="27"/>
          <w:szCs w:val="27"/>
        </w:rPr>
        <w:t>«Таблица 3.</w:t>
      </w:r>
    </w:p>
    <w:p w:rsidR="002D3A61" w:rsidRDefault="002D3A61" w:rsidP="002D3A6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p w:rsidR="002D3A61" w:rsidRDefault="002D3A61" w:rsidP="002D3A61">
      <w:pPr>
        <w:jc w:val="center"/>
        <w:rPr>
          <w:b/>
          <w:sz w:val="27"/>
          <w:szCs w:val="27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417"/>
        <w:gridCol w:w="1276"/>
        <w:gridCol w:w="1275"/>
        <w:gridCol w:w="1277"/>
        <w:gridCol w:w="1276"/>
        <w:gridCol w:w="1275"/>
      </w:tblGrid>
      <w:tr w:rsidR="002D3A61" w:rsidTr="002D3A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программных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2D3A61" w:rsidRDefault="002D3A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2D3A61" w:rsidTr="002D3A61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A61" w:rsidTr="002D3A6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ЖКХ» городского округа Кинель»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бюджет</w:t>
            </w:r>
          </w:p>
        </w:tc>
      </w:tr>
      <w:tr w:rsidR="002D3A61" w:rsidTr="002D3A61">
        <w:trPr>
          <w:trHeight w:val="556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74779,071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16321,794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39861,509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18445,768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2D3A61" w:rsidTr="002D3A61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из областного бюджета</w:t>
            </w:r>
          </w:p>
        </w:tc>
      </w:tr>
      <w:tr w:rsidR="002D3A61" w:rsidTr="002D3A61">
        <w:trPr>
          <w:trHeight w:val="609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58615,096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23286,923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35328,173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3A61" w:rsidTr="002D3A6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«Служба благоустройства и содержания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 Кинель»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бюджет</w:t>
            </w:r>
          </w:p>
        </w:tc>
      </w:tr>
      <w:tr w:rsidR="002D3A61" w:rsidTr="002D3A61">
        <w:trPr>
          <w:trHeight w:val="658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10114,994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7591,725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500,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D3A61" w:rsidTr="002D3A61">
        <w:trPr>
          <w:trHeight w:val="27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из областного бюджета</w:t>
            </w:r>
          </w:p>
        </w:tc>
      </w:tr>
      <w:tr w:rsidR="002D3A61" w:rsidTr="002D3A61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3A61" w:rsidTr="002D3A6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градострои-тельства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администрации г.о. Кинель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бюджет</w:t>
            </w:r>
          </w:p>
        </w:tc>
      </w:tr>
      <w:tr w:rsidR="002D3A61" w:rsidTr="002D3A61">
        <w:trPr>
          <w:trHeight w:val="95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102589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52592,346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38284,74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117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124</w:t>
            </w:r>
          </w:p>
        </w:tc>
      </w:tr>
      <w:tr w:rsidR="002D3A61" w:rsidTr="002D3A61">
        <w:trPr>
          <w:trHeight w:val="27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из областного бюджета</w:t>
            </w:r>
          </w:p>
        </w:tc>
      </w:tr>
      <w:tr w:rsidR="002D3A61" w:rsidTr="002D3A61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111801,018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41801,018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62233,5</w:t>
            </w:r>
          </w:p>
        </w:tc>
      </w:tr>
      <w:tr w:rsidR="002D3A61" w:rsidTr="002D3A6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г.о.Кинель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бюджет</w:t>
            </w:r>
          </w:p>
        </w:tc>
      </w:tr>
      <w:tr w:rsidR="002D3A61" w:rsidTr="002D3A61">
        <w:trPr>
          <w:trHeight w:val="95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11030,528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5580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5450,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D3A61" w:rsidTr="002D3A61">
        <w:trPr>
          <w:trHeight w:val="27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из областного бюджета</w:t>
            </w:r>
          </w:p>
        </w:tc>
      </w:tr>
      <w:tr w:rsidR="002D3A61" w:rsidTr="002D3A61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D3A61" w:rsidRDefault="002D3A61" w:rsidP="002D3A61">
      <w:pPr>
        <w:jc w:val="both"/>
        <w:rPr>
          <w:szCs w:val="28"/>
        </w:rPr>
      </w:pPr>
      <w:r>
        <w:rPr>
          <w:szCs w:val="28"/>
        </w:rPr>
        <w:t>»</w:t>
      </w:r>
    </w:p>
    <w:p w:rsidR="002D3A61" w:rsidRDefault="002D3A61" w:rsidP="002D3A61">
      <w:pPr>
        <w:jc w:val="both"/>
        <w:rPr>
          <w:szCs w:val="28"/>
        </w:rPr>
      </w:pPr>
    </w:p>
    <w:p w:rsidR="002D3A61" w:rsidRDefault="002D3A61" w:rsidP="002D3A61">
      <w:pPr>
        <w:jc w:val="both"/>
        <w:rPr>
          <w:szCs w:val="28"/>
        </w:rPr>
      </w:pPr>
    </w:p>
    <w:p w:rsidR="002D3A61" w:rsidRDefault="002D3A61" w:rsidP="002D3A61">
      <w:pPr>
        <w:jc w:val="both"/>
      </w:pPr>
    </w:p>
    <w:p w:rsidR="002D3A61" w:rsidRDefault="002D3A61" w:rsidP="002D3A61">
      <w:pPr>
        <w:rPr>
          <w:szCs w:val="28"/>
        </w:rPr>
        <w:sectPr w:rsidR="002D3A61">
          <w:pgSz w:w="11906" w:h="16838"/>
          <w:pgMar w:top="1276" w:right="849" w:bottom="993" w:left="1701" w:header="708" w:footer="708" w:gutter="0"/>
          <w:cols w:space="720"/>
        </w:sectPr>
      </w:pPr>
    </w:p>
    <w:tbl>
      <w:tblPr>
        <w:tblW w:w="15276" w:type="dxa"/>
        <w:tblLook w:val="01E0"/>
      </w:tblPr>
      <w:tblGrid>
        <w:gridCol w:w="8188"/>
        <w:gridCol w:w="7088"/>
      </w:tblGrid>
      <w:tr w:rsidR="002D3A61" w:rsidTr="002D3A61">
        <w:tc>
          <w:tcPr>
            <w:tcW w:w="8188" w:type="dxa"/>
          </w:tcPr>
          <w:p w:rsidR="002D3A61" w:rsidRDefault="002D3A61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2D3A61" w:rsidRDefault="002D3A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 2</w:t>
            </w:r>
          </w:p>
          <w:p w:rsidR="002D3A61" w:rsidRDefault="002D3A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2D3A61" w:rsidRDefault="002D3A61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  </w:t>
            </w:r>
            <w:r>
              <w:rPr>
                <w:szCs w:val="28"/>
              </w:rPr>
              <w:t>№______</w:t>
            </w:r>
          </w:p>
          <w:p w:rsidR="002D3A61" w:rsidRDefault="002D3A61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«Приложение № 1</w:t>
            </w:r>
          </w:p>
          <w:p w:rsidR="002D3A61" w:rsidRDefault="002D3A61">
            <w:pPr>
              <w:ind w:left="34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к муниципальной программе городского округа Кинель Самарской области по повышению безопасности дорожного движения на 2014-2018 годы </w:t>
            </w:r>
            <w:r>
              <w:rPr>
                <w:szCs w:val="28"/>
                <w:u w:val="single"/>
              </w:rPr>
              <w:t>(</w:t>
            </w:r>
            <w:r>
              <w:rPr>
                <w:szCs w:val="28"/>
              </w:rPr>
              <w:t>с изменениями от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31.01.2014, от 07.07.2014, от 29.07.2014, от 02.09.2014, от 22.09.2014, от 24.10.2014, от 08.12.2014, от 09.02.2015, от 06.04.2015, от 02.06.2015, от 15.07.2015, от 04.09.2015, от 29.10.2015, от 31.12.2015, от 14.03.2017, от 18.05.2017, от 29.12.2017)</w:t>
            </w:r>
            <w:proofErr w:type="gramEnd"/>
          </w:p>
        </w:tc>
      </w:tr>
    </w:tbl>
    <w:p w:rsidR="002D3A61" w:rsidRDefault="002D3A61" w:rsidP="002D3A61">
      <w:pPr>
        <w:pStyle w:val="1"/>
        <w:spacing w:line="240" w:lineRule="auto"/>
        <w:jc w:val="center"/>
        <w:rPr>
          <w:szCs w:val="24"/>
        </w:rPr>
      </w:pPr>
    </w:p>
    <w:p w:rsidR="002D3A61" w:rsidRDefault="002D3A61" w:rsidP="002D3A61">
      <w:pPr>
        <w:pStyle w:val="1"/>
        <w:spacing w:line="240" w:lineRule="auto"/>
        <w:jc w:val="center"/>
        <w:rPr>
          <w:szCs w:val="24"/>
        </w:rPr>
      </w:pPr>
      <w:r>
        <w:rPr>
          <w:szCs w:val="24"/>
        </w:rPr>
        <w:t>Перечень программных мероприятий</w:t>
      </w:r>
    </w:p>
    <w:tbl>
      <w:tblPr>
        <w:tblW w:w="15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5"/>
        <w:gridCol w:w="3847"/>
        <w:gridCol w:w="847"/>
        <w:gridCol w:w="1455"/>
        <w:gridCol w:w="1310"/>
        <w:gridCol w:w="1306"/>
        <w:gridCol w:w="1289"/>
        <w:gridCol w:w="1260"/>
        <w:gridCol w:w="1275"/>
        <w:gridCol w:w="2701"/>
      </w:tblGrid>
      <w:tr w:rsidR="002D3A61" w:rsidTr="002D3A61">
        <w:trPr>
          <w:tblHeader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исполнения, годы</w:t>
            </w:r>
          </w:p>
        </w:tc>
        <w:tc>
          <w:tcPr>
            <w:tcW w:w="79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2D3A61" w:rsidTr="002D3A61">
        <w:trPr>
          <w:tblHeader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A61" w:rsidRDefault="002D3A61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A61" w:rsidRDefault="002D3A61">
            <w:pPr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A61" w:rsidRDefault="002D3A61">
            <w:pPr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3A61" w:rsidRDefault="002D3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3A61" w:rsidRDefault="002D3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3A61" w:rsidRDefault="002D3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3A61" w:rsidRDefault="002D3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3A61" w:rsidRDefault="002D3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3A61" w:rsidRDefault="002D3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3A61" w:rsidRDefault="002D3A61">
            <w:pPr>
              <w:rPr>
                <w:b/>
                <w:sz w:val="24"/>
                <w:szCs w:val="24"/>
              </w:rPr>
            </w:pPr>
          </w:p>
        </w:tc>
      </w:tr>
      <w:tr w:rsidR="002D3A61" w:rsidTr="002D3A61">
        <w:tc>
          <w:tcPr>
            <w:tcW w:w="15952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Повышение правового сознания и предупреждение опасного поведения участников дорожного движения.</w:t>
            </w:r>
          </w:p>
        </w:tc>
      </w:tr>
      <w:tr w:rsidR="002D3A61" w:rsidTr="002D3A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тематики безопасности дорожного движения в СМИ: газетах «Кинельская жизнь», «Неделя Кинеля», на сайте городского округа Кинель (по предоставлению информации ОГИБДД МО МВД России «Кинельский»)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2014 - 2018</w:t>
            </w:r>
          </w:p>
        </w:tc>
        <w:tc>
          <w:tcPr>
            <w:tcW w:w="7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финансирования</w:t>
            </w:r>
          </w:p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городского округа Кинель Самарской области </w:t>
            </w:r>
          </w:p>
        </w:tc>
      </w:tr>
      <w:tr w:rsidR="002D3A61" w:rsidTr="002D3A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2014 -2018</w:t>
            </w:r>
          </w:p>
        </w:tc>
        <w:tc>
          <w:tcPr>
            <w:tcW w:w="7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финансирования</w:t>
            </w:r>
          </w:p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</w:tr>
      <w:tr w:rsidR="002D3A61" w:rsidTr="002D3A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>
            <w:pPr>
              <w:rPr>
                <w:b/>
                <w:sz w:val="24"/>
                <w:szCs w:val="24"/>
              </w:rPr>
            </w:pPr>
          </w:p>
        </w:tc>
      </w:tr>
      <w:tr w:rsidR="002D3A61" w:rsidTr="002D3A61">
        <w:tc>
          <w:tcPr>
            <w:tcW w:w="15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Проведение инженерно-технических мероприятий, направленных на повышение уровня безопасности дорожного движения и предупреждение причин возникновения ДТП.</w:t>
            </w:r>
          </w:p>
        </w:tc>
      </w:tr>
      <w:tr w:rsidR="002D3A61" w:rsidTr="002D3A61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 w:rsidP="00CD588D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автодорог, тротуаров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2014 -201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45028,605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2764,6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7111,273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t>МКУ «Управление ЖКХ» городского округа Кинель»</w:t>
            </w:r>
            <w:r>
              <w:rPr>
                <w:bCs/>
                <w:sz w:val="24"/>
                <w:szCs w:val="24"/>
              </w:rPr>
              <w:t xml:space="preserve"> (далее - МКУ «Управление ЖКХ»)</w:t>
            </w:r>
          </w:p>
        </w:tc>
      </w:tr>
      <w:tr w:rsidR="002D3A61" w:rsidTr="002D3A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11989,413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23163,319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Самарской области (далее – Управление архитектуры и </w:t>
            </w:r>
            <w:r>
              <w:rPr>
                <w:sz w:val="24"/>
                <w:szCs w:val="24"/>
              </w:rPr>
              <w:lastRenderedPageBreak/>
              <w:t>градостроительства)</w:t>
            </w:r>
          </w:p>
        </w:tc>
      </w:tr>
      <w:tr w:rsidR="002D3A61" w:rsidTr="002D3A61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 w:rsidP="00CD588D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лабораторных испытаний дорожно-строительных материалов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2014 -2015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272,02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D3A61" w:rsidTr="002D3A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2D3A61" w:rsidTr="002D3A61">
        <w:trPr>
          <w:trHeight w:val="339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 w:rsidP="00CD588D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автодорог, тротуаров (софинансирование)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D3A61" w:rsidTr="002D3A61">
        <w:trPr>
          <w:trHeight w:val="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3910,336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1845,236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</w:tr>
      <w:tr w:rsidR="002D3A61" w:rsidTr="002D3A61">
        <w:trPr>
          <w:trHeight w:val="3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</w:tr>
      <w:tr w:rsidR="002D3A61" w:rsidTr="002D3A6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58615,096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23286,923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35328,173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</w:tr>
      <w:tr w:rsidR="002D3A61" w:rsidTr="002D3A61">
        <w:trPr>
          <w:trHeight w:val="3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2016 -2018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2D3A61" w:rsidTr="002D3A61">
        <w:trPr>
          <w:trHeight w:val="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</w:tr>
      <w:tr w:rsidR="002D3A61" w:rsidTr="002D3A61">
        <w:trPr>
          <w:trHeight w:val="3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ind w:left="9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</w:tr>
      <w:tr w:rsidR="002D3A61" w:rsidTr="002D3A61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41801,018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41801,018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</w:tr>
      <w:tr w:rsidR="002D3A61" w:rsidTr="002D3A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 w:rsidP="00CD588D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асфальтового покрытия автомобильных дорог, тротуаров и дворовых территорий (проездов) многоквартирных домов, искусственных дорожных неровностей.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20209,881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4127,706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7379,4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8702,775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ЖКХ»</w:t>
            </w:r>
          </w:p>
        </w:tc>
      </w:tr>
      <w:tr w:rsidR="002D3A61" w:rsidTr="002D3A61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 w:rsidP="00CD588D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сборно-разборных конструкций искусственных дорожных неровностей на проезжей части автодорог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2014 -2015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D3A61" w:rsidTr="002D3A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2D3A61" w:rsidTr="002D3A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 w:rsidP="00CD588D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Поставка щебня и природной </w:t>
            </w:r>
            <w:r>
              <w:rPr>
                <w:sz w:val="24"/>
                <w:szCs w:val="24"/>
              </w:rPr>
              <w:lastRenderedPageBreak/>
              <w:t>песчано-гравийной смеси для дорожных работ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2014 -</w:t>
            </w:r>
            <w:r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6989.44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5063,34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</w:t>
            </w:r>
            <w:r>
              <w:rPr>
                <w:sz w:val="24"/>
                <w:szCs w:val="24"/>
              </w:rPr>
              <w:lastRenderedPageBreak/>
              <w:t xml:space="preserve">ЖКХ» </w:t>
            </w:r>
          </w:p>
        </w:tc>
      </w:tr>
      <w:tr w:rsidR="002D3A61" w:rsidTr="002D3A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 w:rsidP="00CD588D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Дислокацию технических средств организации дорожного движения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210.0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D3A61" w:rsidTr="002D3A61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 w:rsidP="00CD588D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грунтовых дорог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2014 -201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12862</w:t>
            </w:r>
            <w:r>
              <w:rPr>
                <w:sz w:val="24"/>
                <w:szCs w:val="24"/>
                <w:lang w:val="en-US"/>
              </w:rPr>
              <w:t>.625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974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D3A61" w:rsidTr="002D3A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2016 - 2018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7591,725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 «СБСК»</w:t>
            </w:r>
          </w:p>
        </w:tc>
      </w:tr>
      <w:tr w:rsidR="002D3A61" w:rsidTr="002D3A61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 w:rsidP="00CD588D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2014 -201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3205</w:t>
            </w:r>
            <w:r>
              <w:rPr>
                <w:color w:val="000000"/>
                <w:sz w:val="24"/>
                <w:szCs w:val="24"/>
              </w:rPr>
              <w:t>,717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1392,576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493,252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D3A61" w:rsidTr="002D3A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2017 - 2018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600,789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МБУ «СБСК»</w:t>
            </w:r>
          </w:p>
        </w:tc>
      </w:tr>
      <w:tr w:rsidR="002D3A61" w:rsidTr="002D3A61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 w:rsidP="00CD588D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2014 -201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4916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1096,25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1038,76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ЖКХ»</w:t>
            </w:r>
          </w:p>
        </w:tc>
      </w:tr>
      <w:tr w:rsidR="002D3A61" w:rsidTr="002D3A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2017 - 2018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1422,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500.0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 «СБСК»</w:t>
            </w:r>
          </w:p>
        </w:tc>
      </w:tr>
      <w:tr w:rsidR="002D3A61" w:rsidTr="002D3A61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 w:rsidP="00CD588D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установка дорожных (пешеходных) ограждений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36,19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1914,17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722,02*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D3A61" w:rsidTr="002D3A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 «СБСК»</w:t>
            </w:r>
          </w:p>
        </w:tc>
      </w:tr>
      <w:tr w:rsidR="002D3A61" w:rsidTr="002D3A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 w:rsidP="00CD588D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мостовых сооружений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152.403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114,762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37,641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D3A61" w:rsidTr="002D3A61">
        <w:trPr>
          <w:trHeight w:val="73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 w:rsidP="00CD588D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установка светофорных объектов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2014 201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2086.244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,244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539,0**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D3A61" w:rsidTr="002D3A61">
        <w:trPr>
          <w:trHeight w:val="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-2018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2D3A61" w:rsidTr="002D3A61">
        <w:trPr>
          <w:trHeight w:val="73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 w:rsidP="00CD588D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2014-2018</w:t>
            </w:r>
          </w:p>
        </w:tc>
        <w:tc>
          <w:tcPr>
            <w:tcW w:w="7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2D3A61" w:rsidTr="002D3A61">
        <w:trPr>
          <w:trHeight w:val="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25210,839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20560,839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4650,0</w:t>
            </w:r>
            <w:r>
              <w:rPr>
                <w:sz w:val="24"/>
                <w:szCs w:val="24"/>
                <w:lang w:val="en-US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</w:tr>
      <w:tr w:rsidR="002D3A61" w:rsidTr="002D3A61">
        <w:trPr>
          <w:trHeight w:val="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7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</w:tr>
      <w:tr w:rsidR="002D3A61" w:rsidTr="002D3A61">
        <w:trPr>
          <w:trHeight w:val="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14144,035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14144,035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1" w:rsidRDefault="002D3A61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</w:tr>
      <w:tr w:rsidR="002D3A61" w:rsidTr="002D3A61">
        <w:trPr>
          <w:trHeight w:val="73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 w:rsidP="00CD588D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сметной документации на ремонт дорог местного значения, ремонт дворовых территорий (проездов) многоквартирных домов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-2015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D3A61" w:rsidTr="002D3A61">
        <w:trPr>
          <w:trHeight w:val="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2D3A61" w:rsidTr="002D3A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 w:rsidP="00CD588D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комплексной схемы организации дорожного движения на автомобильных дорогах общего пользования местного значения и формирования базы дорожных данных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ind w:left="-107" w:right="34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75.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75.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ЖКХ»</w:t>
            </w:r>
          </w:p>
        </w:tc>
      </w:tr>
      <w:tr w:rsidR="002D3A61" w:rsidTr="002D3A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2464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,569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39608,717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59630,466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ind w:left="-107" w:right="34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102550,763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44055,623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ind w:left="-107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62</w:t>
            </w:r>
            <w:r>
              <w:rPr>
                <w:b/>
                <w:sz w:val="24"/>
                <w:szCs w:val="24"/>
                <w:lang w:val="en-US"/>
              </w:rPr>
              <w:t>5.0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>
            <w:pPr>
              <w:rPr>
                <w:b/>
                <w:sz w:val="24"/>
                <w:szCs w:val="24"/>
              </w:rPr>
            </w:pPr>
          </w:p>
        </w:tc>
      </w:tr>
      <w:tr w:rsidR="002D3A61" w:rsidTr="002D3A61">
        <w:tc>
          <w:tcPr>
            <w:tcW w:w="15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Муниципальный дорожный фонд</w:t>
            </w:r>
            <w:proofErr w:type="gramStart"/>
            <w:r>
              <w:rPr>
                <w:b/>
                <w:sz w:val="24"/>
                <w:szCs w:val="24"/>
              </w:rPr>
              <w:t>..</w:t>
            </w:r>
            <w:proofErr w:type="gramEnd"/>
          </w:p>
        </w:tc>
      </w:tr>
      <w:tr w:rsidR="002D3A61" w:rsidTr="002D3A61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 w:rsidP="00CD588D">
            <w:pPr>
              <w:pStyle w:val="a3"/>
              <w:numPr>
                <w:ilvl w:val="1"/>
                <w:numId w:val="3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финансируемые из муниципального дорожного фонда.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2015</w:t>
            </w:r>
          </w:p>
        </w:tc>
        <w:tc>
          <w:tcPr>
            <w:tcW w:w="7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2D3A61" w:rsidTr="002D3A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15559,216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15559,216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</w:tr>
      <w:tr w:rsidR="002D3A61" w:rsidTr="002D3A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7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</w:tr>
      <w:tr w:rsidR="002D3A61" w:rsidTr="002D3A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</w:tr>
      <w:tr w:rsidR="002D3A61" w:rsidTr="002D3A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2016 - 2018</w:t>
            </w:r>
          </w:p>
        </w:tc>
        <w:tc>
          <w:tcPr>
            <w:tcW w:w="7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2D3A61" w:rsidTr="002D3A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40063,639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17880,094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10471,421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11712,124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</w:tr>
      <w:tr w:rsidR="002D3A61" w:rsidTr="002D3A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</w:tr>
      <w:tr w:rsidR="002D3A61" w:rsidTr="002D3A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118089,465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55855,965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62233,5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</w:p>
        </w:tc>
      </w:tr>
      <w:tr w:rsidR="002D3A61" w:rsidTr="002D3A61">
        <w:trPr>
          <w:trHeight w:val="5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173712,32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15559,216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17880,094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66327,386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73945,624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>
            <w:pPr>
              <w:rPr>
                <w:b/>
                <w:sz w:val="24"/>
                <w:szCs w:val="24"/>
              </w:rPr>
            </w:pPr>
          </w:p>
        </w:tc>
      </w:tr>
      <w:tr w:rsidR="002D3A61" w:rsidTr="002D3A61">
        <w:tc>
          <w:tcPr>
            <w:tcW w:w="15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Профилактика детского дорожно-транспортного травматизма.</w:t>
            </w:r>
          </w:p>
        </w:tc>
      </w:tr>
      <w:tr w:rsidR="002D3A61" w:rsidTr="002D3A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 w:rsidP="00CD588D">
            <w:pPr>
              <w:pStyle w:val="a3"/>
              <w:numPr>
                <w:ilvl w:val="1"/>
                <w:numId w:val="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2014 -2018</w:t>
            </w:r>
          </w:p>
        </w:tc>
        <w:tc>
          <w:tcPr>
            <w:tcW w:w="7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финансирования</w:t>
            </w:r>
          </w:p>
          <w:p w:rsidR="002D3A61" w:rsidRDefault="002D3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ДМО «Альянс молодых»</w:t>
            </w:r>
          </w:p>
        </w:tc>
      </w:tr>
      <w:tr w:rsidR="002D3A61" w:rsidTr="002D3A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>
            <w:pPr>
              <w:rPr>
                <w:b/>
                <w:sz w:val="24"/>
                <w:szCs w:val="24"/>
              </w:rPr>
            </w:pPr>
          </w:p>
        </w:tc>
      </w:tr>
      <w:tr w:rsidR="002D3A61" w:rsidTr="002D3A61">
        <w:tc>
          <w:tcPr>
            <w:tcW w:w="15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Обеспечение выполнения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</w:tr>
      <w:tr w:rsidR="002D3A61" w:rsidTr="002D3A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на возмещение части затрат по выполнению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11030,528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5580,528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  <w:r>
              <w:rPr>
                <w:sz w:val="24"/>
                <w:szCs w:val="24"/>
              </w:rPr>
              <w:t>50,0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</w:tr>
      <w:tr w:rsidR="002D3A61" w:rsidTr="002D3A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>
            <w:pPr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11030,528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ind w:left="-107" w:right="-108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ind w:left="-107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ind w:left="-107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5580,528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54</w:t>
            </w: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>
            <w:pPr>
              <w:rPr>
                <w:b/>
                <w:sz w:val="24"/>
                <w:szCs w:val="24"/>
              </w:rPr>
            </w:pPr>
          </w:p>
        </w:tc>
      </w:tr>
      <w:tr w:rsidR="002D3A61" w:rsidTr="002D3A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1" w:rsidRDefault="002D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431213,417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ind w:left="-107" w:right="-108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39608,717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75189,682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120430,857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115963,537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61" w:rsidRDefault="002D3A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80020,624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61" w:rsidRDefault="002D3A61">
            <w:pPr>
              <w:rPr>
                <w:b/>
                <w:sz w:val="24"/>
                <w:szCs w:val="24"/>
              </w:rPr>
            </w:pPr>
          </w:p>
        </w:tc>
      </w:tr>
    </w:tbl>
    <w:p w:rsidR="002D3A61" w:rsidRDefault="002D3A61" w:rsidP="002D3A61">
      <w:pPr>
        <w:pStyle w:val="a3"/>
        <w:jc w:val="both"/>
        <w:rPr>
          <w:sz w:val="16"/>
          <w:szCs w:val="16"/>
        </w:rPr>
      </w:pPr>
    </w:p>
    <w:p w:rsidR="002D3A61" w:rsidRDefault="002D3A61" w:rsidP="002D3A61">
      <w:pPr>
        <w:pStyle w:val="a3"/>
        <w:ind w:left="0"/>
        <w:jc w:val="both"/>
        <w:rPr>
          <w:rFonts w:cs="Tahoma"/>
          <w:sz w:val="16"/>
          <w:szCs w:val="16"/>
        </w:rPr>
      </w:pPr>
      <w:r>
        <w:rPr>
          <w:sz w:val="16"/>
          <w:szCs w:val="16"/>
        </w:rPr>
        <w:t xml:space="preserve">*Сумма заложена на установку </w:t>
      </w:r>
      <w:r>
        <w:rPr>
          <w:rFonts w:cs="Tahoma"/>
          <w:sz w:val="16"/>
          <w:szCs w:val="16"/>
        </w:rPr>
        <w:t>дорожных (пешеходных) ограждений, приобретенных в 2014 году</w:t>
      </w:r>
    </w:p>
    <w:p w:rsidR="002D3A61" w:rsidRDefault="002D3A61" w:rsidP="002D3A61">
      <w:pPr>
        <w:rPr>
          <w:szCs w:val="28"/>
        </w:rPr>
      </w:pPr>
      <w:r>
        <w:rPr>
          <w:sz w:val="16"/>
          <w:szCs w:val="16"/>
        </w:rPr>
        <w:t xml:space="preserve">**Сумма заложена на установку </w:t>
      </w:r>
      <w:r>
        <w:rPr>
          <w:rFonts w:cs="Tahoma"/>
          <w:sz w:val="16"/>
          <w:szCs w:val="16"/>
        </w:rPr>
        <w:t>светофорных объектов, приобретенных в 2014 году»</w:t>
      </w:r>
    </w:p>
    <w:p w:rsidR="002D3A61" w:rsidRDefault="002D3A61" w:rsidP="002D3A61">
      <w:pPr>
        <w:rPr>
          <w:szCs w:val="28"/>
        </w:rPr>
      </w:pPr>
    </w:p>
    <w:p w:rsidR="002D3A61" w:rsidRDefault="002D3A61" w:rsidP="002D3A61">
      <w:pPr>
        <w:rPr>
          <w:szCs w:val="28"/>
        </w:rPr>
      </w:pPr>
    </w:p>
    <w:p w:rsidR="002D3A61" w:rsidRDefault="002D3A61" w:rsidP="002D3A61">
      <w:pPr>
        <w:rPr>
          <w:szCs w:val="28"/>
        </w:rPr>
      </w:pPr>
    </w:p>
    <w:p w:rsidR="005A36B7" w:rsidRDefault="002D1933"/>
    <w:sectPr w:rsidR="005A36B7" w:rsidSect="002D3A6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83DDC"/>
    <w:multiLevelType w:val="multilevel"/>
    <w:tmpl w:val="C1243D5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">
    <w:nsid w:val="66145AB5"/>
    <w:multiLevelType w:val="multilevel"/>
    <w:tmpl w:val="B350A6C8"/>
    <w:lvl w:ilvl="0">
      <w:start w:val="3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>
    <w:nsid w:val="736D6BF9"/>
    <w:multiLevelType w:val="multilevel"/>
    <w:tmpl w:val="D99834D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77D732B3"/>
    <w:multiLevelType w:val="multilevel"/>
    <w:tmpl w:val="BAACCB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D3A61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1933"/>
    <w:rsid w:val="002D3A61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979C3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6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A61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A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2D3A6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2D3A6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_"/>
    <w:basedOn w:val="a0"/>
    <w:link w:val="3"/>
    <w:uiPriority w:val="99"/>
    <w:locked/>
    <w:rsid w:val="002D3A61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2D3A61"/>
    <w:pPr>
      <w:shd w:val="clear" w:color="auto" w:fill="FFFFFF"/>
      <w:spacing w:before="300" w:after="120" w:line="240" w:lineRule="atLeast"/>
      <w:jc w:val="both"/>
    </w:pPr>
    <w:rPr>
      <w:rFonts w:eastAsiaTheme="minorHAnsi"/>
      <w:spacing w:val="3"/>
      <w:sz w:val="25"/>
      <w:szCs w:val="25"/>
      <w:lang w:eastAsia="en-US"/>
    </w:rPr>
  </w:style>
  <w:style w:type="character" w:customStyle="1" w:styleId="a6">
    <w:name w:val="Цветовое выделение"/>
    <w:uiPriority w:val="99"/>
    <w:rsid w:val="002D3A61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1524</Words>
  <Characters>8691</Characters>
  <Application>Microsoft Office Word</Application>
  <DocSecurity>0</DocSecurity>
  <Lines>72</Lines>
  <Paragraphs>20</Paragraphs>
  <ScaleCrop>false</ScaleCrop>
  <Company>Microsoft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2018-09-25T05:01:00Z</dcterms:created>
  <dcterms:modified xsi:type="dcterms:W3CDTF">2018-09-25T05:01:00Z</dcterms:modified>
</cp:coreProperties>
</file>