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3" w:type="dxa"/>
        <w:tblInd w:w="108" w:type="dxa"/>
        <w:tblLayout w:type="fixed"/>
        <w:tblLook w:val="0000"/>
      </w:tblPr>
      <w:tblGrid>
        <w:gridCol w:w="4253"/>
        <w:gridCol w:w="709"/>
        <w:gridCol w:w="4331"/>
      </w:tblGrid>
      <w:tr w:rsidR="00267E15" w:rsidRPr="000C499A" w:rsidTr="00334216">
        <w:tc>
          <w:tcPr>
            <w:tcW w:w="4253" w:type="dxa"/>
          </w:tcPr>
          <w:p w:rsidR="00267E15" w:rsidRPr="000C499A" w:rsidRDefault="00267E15" w:rsidP="00334216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267E15" w:rsidRPr="000C499A" w:rsidRDefault="00267E15" w:rsidP="00334216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267E15" w:rsidRPr="000C499A" w:rsidRDefault="00267E15" w:rsidP="00334216">
            <w:pPr>
              <w:ind w:left="34"/>
              <w:jc w:val="center"/>
            </w:pPr>
          </w:p>
          <w:p w:rsidR="00267E15" w:rsidRPr="000C499A" w:rsidRDefault="00267E15" w:rsidP="00334216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267E15" w:rsidRPr="000C499A" w:rsidRDefault="00267E15" w:rsidP="00334216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267E15" w:rsidRPr="000C499A" w:rsidRDefault="00267E15" w:rsidP="00334216">
            <w:pPr>
              <w:ind w:left="34"/>
              <w:jc w:val="center"/>
              <w:rPr>
                <w:sz w:val="18"/>
              </w:rPr>
            </w:pPr>
          </w:p>
          <w:p w:rsidR="00267E15" w:rsidRPr="000C499A" w:rsidRDefault="00267E15" w:rsidP="00334216">
            <w:pPr>
              <w:ind w:left="34"/>
              <w:jc w:val="center"/>
              <w:rPr>
                <w:sz w:val="18"/>
              </w:rPr>
            </w:pPr>
          </w:p>
          <w:p w:rsidR="00267E15" w:rsidRPr="000C499A" w:rsidRDefault="00267E15" w:rsidP="00334216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267E15" w:rsidRPr="000C499A" w:rsidRDefault="00267E15" w:rsidP="00334216">
            <w:pPr>
              <w:ind w:left="34"/>
              <w:jc w:val="center"/>
            </w:pPr>
          </w:p>
          <w:p w:rsidR="00267E15" w:rsidRPr="004E5F3D" w:rsidRDefault="00267E15" w:rsidP="00334216">
            <w:pPr>
              <w:ind w:left="34"/>
              <w:jc w:val="center"/>
              <w:rPr>
                <w:szCs w:val="28"/>
                <w:u w:val="single"/>
              </w:rPr>
            </w:pPr>
            <w:r w:rsidRPr="004E5F3D">
              <w:rPr>
                <w:szCs w:val="28"/>
              </w:rPr>
              <w:t>от</w:t>
            </w:r>
            <w:r w:rsidRPr="004E5F3D">
              <w:rPr>
                <w:szCs w:val="28"/>
                <w:lang w:val="en-US"/>
              </w:rPr>
              <w:t xml:space="preserve">  </w:t>
            </w:r>
            <w:r w:rsidRPr="004E5F3D">
              <w:rPr>
                <w:szCs w:val="28"/>
                <w:u w:val="single"/>
              </w:rPr>
              <w:t xml:space="preserve">                    </w:t>
            </w:r>
            <w:r w:rsidRPr="004E5F3D">
              <w:rPr>
                <w:szCs w:val="28"/>
              </w:rPr>
              <w:t>№______</w:t>
            </w:r>
          </w:p>
          <w:p w:rsidR="00267E15" w:rsidRPr="00FF4D89" w:rsidRDefault="00267E15" w:rsidP="00334216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267E15" w:rsidRPr="0020239A" w:rsidRDefault="00267E15" w:rsidP="00334216">
            <w:pPr>
              <w:jc w:val="right"/>
            </w:pPr>
            <w:r>
              <w:t>ПРОЕКТ</w:t>
            </w:r>
          </w:p>
        </w:tc>
      </w:tr>
      <w:tr w:rsidR="00267E15" w:rsidRPr="000C499A" w:rsidTr="00334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31" w:type="dxa"/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E15" w:rsidRPr="000C499A" w:rsidRDefault="00267E15" w:rsidP="00334216">
            <w:pPr>
              <w:spacing w:line="360" w:lineRule="auto"/>
              <w:jc w:val="both"/>
              <w:rPr>
                <w:szCs w:val="28"/>
              </w:rPr>
            </w:pPr>
            <w:r w:rsidRPr="000C499A">
              <w:rPr>
                <w:szCs w:val="28"/>
              </w:rPr>
              <w:t xml:space="preserve"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0C499A">
              <w:rPr>
                <w:szCs w:val="28"/>
              </w:rPr>
              <w:t>от 30</w:t>
            </w:r>
            <w:r>
              <w:rPr>
                <w:szCs w:val="28"/>
              </w:rPr>
              <w:t xml:space="preserve"> сентября </w:t>
            </w:r>
            <w:r w:rsidRPr="000C499A">
              <w:rPr>
                <w:szCs w:val="28"/>
              </w:rPr>
              <w:t>2013 № 2879 (</w:t>
            </w:r>
            <w:r>
              <w:rPr>
                <w:szCs w:val="28"/>
              </w:rPr>
              <w:t>в редакции</w:t>
            </w:r>
            <w:r w:rsidRPr="000C499A">
              <w:rPr>
                <w:szCs w:val="28"/>
              </w:rPr>
              <w:t xml:space="preserve"> </w:t>
            </w:r>
            <w:r w:rsidRPr="004E346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 w:rsidRPr="00916975">
              <w:rPr>
                <w:szCs w:val="28"/>
              </w:rPr>
              <w:t>28</w:t>
            </w:r>
            <w:r>
              <w:rPr>
                <w:szCs w:val="28"/>
              </w:rPr>
              <w:t xml:space="preserve"> сентября </w:t>
            </w:r>
            <w:r w:rsidRPr="00B609C3">
              <w:rPr>
                <w:szCs w:val="28"/>
              </w:rPr>
              <w:t>2018</w:t>
            </w:r>
            <w:r>
              <w:rPr>
                <w:szCs w:val="28"/>
              </w:rPr>
              <w:t>)</w:t>
            </w:r>
          </w:p>
        </w:tc>
      </w:tr>
    </w:tbl>
    <w:p w:rsidR="00267E15" w:rsidRPr="000C499A" w:rsidRDefault="00267E15" w:rsidP="00267E15">
      <w:pPr>
        <w:pStyle w:val="3"/>
        <w:shd w:val="clear" w:color="auto" w:fill="auto"/>
        <w:spacing w:before="0" w:after="0" w:line="240" w:lineRule="auto"/>
        <w:ind w:right="20" w:firstLine="680"/>
        <w:rPr>
          <w:spacing w:val="0"/>
          <w:sz w:val="28"/>
          <w:szCs w:val="28"/>
        </w:rPr>
      </w:pPr>
    </w:p>
    <w:p w:rsidR="00267E15" w:rsidRPr="00C83374" w:rsidRDefault="00267E15" w:rsidP="00267E15">
      <w:pPr>
        <w:pStyle w:val="3"/>
        <w:shd w:val="clear" w:color="auto" w:fill="auto"/>
        <w:spacing w:before="240" w:after="0" w:line="360" w:lineRule="auto"/>
        <w:ind w:right="23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соответствии с решением Думы городского округа Кинель Самарской области от 12 декабря 2017 № </w:t>
      </w:r>
      <w:r w:rsidRPr="00B92150">
        <w:rPr>
          <w:sz w:val="28"/>
          <w:szCs w:val="28"/>
        </w:rPr>
        <w:t>3</w:t>
      </w:r>
      <w:r>
        <w:rPr>
          <w:sz w:val="28"/>
          <w:szCs w:val="28"/>
        </w:rPr>
        <w:t>17 «О бюджете городского округа Кинель Самарской области на 2018 год и на плановые период 2019 и 2020 годов» (в редакции от 20 декабря 2018 г.)</w:t>
      </w:r>
    </w:p>
    <w:p w:rsidR="00267E15" w:rsidRPr="000C499A" w:rsidRDefault="00267E15" w:rsidP="00267E15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</w:t>
      </w:r>
      <w:r w:rsidRPr="000C499A">
        <w:rPr>
          <w:szCs w:val="28"/>
        </w:rPr>
        <w:t>Ю:</w:t>
      </w:r>
    </w:p>
    <w:p w:rsidR="00267E15" w:rsidRDefault="00267E15" w:rsidP="00267E1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0C499A">
        <w:rPr>
          <w:szCs w:val="28"/>
        </w:rPr>
        <w:t xml:space="preserve"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0C499A">
        <w:rPr>
          <w:szCs w:val="28"/>
        </w:rPr>
        <w:t>от 30</w:t>
      </w:r>
      <w:r>
        <w:rPr>
          <w:szCs w:val="28"/>
        </w:rPr>
        <w:t xml:space="preserve"> сентября </w:t>
      </w:r>
      <w:r w:rsidRPr="000C499A">
        <w:rPr>
          <w:szCs w:val="28"/>
        </w:rPr>
        <w:t>2013 № 2879 (</w:t>
      </w:r>
      <w:r>
        <w:rPr>
          <w:szCs w:val="28"/>
        </w:rPr>
        <w:t>в редакции</w:t>
      </w:r>
      <w:r w:rsidRPr="000C499A">
        <w:rPr>
          <w:szCs w:val="28"/>
        </w:rPr>
        <w:t xml:space="preserve"> </w:t>
      </w:r>
      <w:r w:rsidRPr="004E346A">
        <w:rPr>
          <w:szCs w:val="28"/>
        </w:rPr>
        <w:t>от</w:t>
      </w:r>
      <w:r>
        <w:rPr>
          <w:szCs w:val="28"/>
        </w:rPr>
        <w:t> </w:t>
      </w:r>
      <w:r w:rsidRPr="00916975">
        <w:rPr>
          <w:szCs w:val="28"/>
        </w:rPr>
        <w:t>28</w:t>
      </w:r>
      <w:r>
        <w:rPr>
          <w:szCs w:val="28"/>
        </w:rPr>
        <w:t xml:space="preserve"> сентября </w:t>
      </w:r>
      <w:r w:rsidRPr="00B609C3">
        <w:rPr>
          <w:szCs w:val="28"/>
        </w:rPr>
        <w:t>2018</w:t>
      </w:r>
      <w:r w:rsidRPr="000C499A">
        <w:rPr>
          <w:szCs w:val="28"/>
        </w:rPr>
        <w:t>)</w:t>
      </w:r>
      <w:r w:rsidR="00C55133">
        <w:rPr>
          <w:szCs w:val="28"/>
        </w:rPr>
        <w:t>,</w:t>
      </w:r>
      <w:r w:rsidRPr="000C499A">
        <w:rPr>
          <w:szCs w:val="28"/>
        </w:rPr>
        <w:t xml:space="preserve"> следующие изменения:</w:t>
      </w:r>
    </w:p>
    <w:p w:rsidR="00267E15" w:rsidRPr="00625AF0" w:rsidRDefault="00267E15" w:rsidP="00267E15">
      <w:pPr>
        <w:numPr>
          <w:ilvl w:val="1"/>
          <w:numId w:val="4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625AF0">
        <w:rPr>
          <w:szCs w:val="28"/>
        </w:rPr>
        <w:lastRenderedPageBreak/>
        <w:t xml:space="preserve">В паспорте муниципальной программы </w:t>
      </w:r>
      <w:r w:rsidRPr="00625AF0">
        <w:rPr>
          <w:rStyle w:val="a4"/>
          <w:b w:val="0"/>
          <w:bCs/>
          <w:color w:val="auto"/>
          <w:szCs w:val="28"/>
        </w:rPr>
        <w:t>сумму «</w:t>
      </w:r>
      <w:r w:rsidRPr="00625AF0">
        <w:rPr>
          <w:szCs w:val="28"/>
        </w:rPr>
        <w:t>431213,417» заменить суммой «434818,399», сумму «80020,624</w:t>
      </w:r>
      <w:r w:rsidRPr="00625AF0">
        <w:t>»</w:t>
      </w:r>
      <w:r w:rsidRPr="00625AF0">
        <w:rPr>
          <w:rStyle w:val="a4"/>
          <w:b w:val="0"/>
          <w:color w:val="auto"/>
          <w:szCs w:val="28"/>
        </w:rPr>
        <w:t xml:space="preserve"> заменить суммой </w:t>
      </w:r>
      <w:r w:rsidRPr="00625AF0">
        <w:rPr>
          <w:szCs w:val="28"/>
        </w:rPr>
        <w:t>«83625,606».</w:t>
      </w:r>
    </w:p>
    <w:p w:rsidR="00267E15" w:rsidRPr="006E563A" w:rsidRDefault="00267E15" w:rsidP="00267E15">
      <w:pPr>
        <w:numPr>
          <w:ilvl w:val="1"/>
          <w:numId w:val="4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267E15" w:rsidRPr="00625AF0" w:rsidRDefault="00267E15" w:rsidP="00267E15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bCs/>
          <w:szCs w:val="28"/>
        </w:rPr>
      </w:pPr>
      <w:r w:rsidRPr="0015090F">
        <w:rPr>
          <w:rStyle w:val="a4"/>
          <w:b w:val="0"/>
          <w:bCs/>
          <w:color w:val="auto"/>
          <w:szCs w:val="28"/>
        </w:rPr>
        <w:t>В пункте 5.1. сумму «</w:t>
      </w:r>
      <w:r>
        <w:rPr>
          <w:rStyle w:val="a4"/>
          <w:b w:val="0"/>
          <w:bCs/>
          <w:color w:val="auto"/>
        </w:rPr>
        <w:t>198563,</w:t>
      </w:r>
      <w:r w:rsidRPr="00625AF0">
        <w:rPr>
          <w:rStyle w:val="a4"/>
          <w:b w:val="0"/>
          <w:bCs/>
          <w:color w:val="auto"/>
        </w:rPr>
        <w:t>803» заменить суммой «202168,785», сумму «</w:t>
      </w:r>
      <w:r w:rsidRPr="00625AF0">
        <w:rPr>
          <w:szCs w:val="28"/>
        </w:rPr>
        <w:t>17787,124</w:t>
      </w:r>
      <w:r w:rsidRPr="00625AF0">
        <w:rPr>
          <w:rStyle w:val="a4"/>
          <w:b w:val="0"/>
          <w:bCs/>
          <w:color w:val="auto"/>
        </w:rPr>
        <w:t>»</w:t>
      </w:r>
      <w:r w:rsidRPr="00625AF0">
        <w:rPr>
          <w:rStyle w:val="a4"/>
          <w:b w:val="0"/>
          <w:bCs/>
          <w:color w:val="auto"/>
          <w:szCs w:val="28"/>
        </w:rPr>
        <w:t xml:space="preserve"> заменить суммой </w:t>
      </w:r>
      <w:r w:rsidRPr="00625AF0">
        <w:rPr>
          <w:rStyle w:val="a4"/>
          <w:b w:val="0"/>
          <w:bCs/>
          <w:color w:val="auto"/>
        </w:rPr>
        <w:t>«</w:t>
      </w:r>
      <w:r w:rsidRPr="00625AF0">
        <w:rPr>
          <w:szCs w:val="28"/>
        </w:rPr>
        <w:t>21392,106</w:t>
      </w:r>
      <w:r w:rsidRPr="00625AF0">
        <w:rPr>
          <w:rStyle w:val="a4"/>
          <w:b w:val="0"/>
          <w:bCs/>
          <w:color w:val="auto"/>
        </w:rPr>
        <w:t>».</w:t>
      </w:r>
    </w:p>
    <w:p w:rsidR="00267E15" w:rsidRPr="005A7AF1" w:rsidRDefault="00267E15" w:rsidP="00267E15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Т</w:t>
      </w:r>
      <w:r w:rsidRPr="005A7AF1">
        <w:rPr>
          <w:szCs w:val="28"/>
        </w:rPr>
        <w:t>аблиц</w:t>
      </w:r>
      <w:r>
        <w:rPr>
          <w:szCs w:val="28"/>
        </w:rPr>
        <w:t>у</w:t>
      </w:r>
      <w:r w:rsidRPr="005A7AF1">
        <w:rPr>
          <w:szCs w:val="28"/>
        </w:rPr>
        <w:t xml:space="preserve"> 3 </w:t>
      </w:r>
      <w:r>
        <w:rPr>
          <w:szCs w:val="28"/>
        </w:rPr>
        <w:t>пункта</w:t>
      </w:r>
      <w:r w:rsidRPr="005A7AF1">
        <w:rPr>
          <w:szCs w:val="28"/>
        </w:rPr>
        <w:t xml:space="preserve"> 5.3.</w:t>
      </w:r>
      <w:r>
        <w:rPr>
          <w:szCs w:val="28"/>
        </w:rPr>
        <w:t xml:space="preserve"> изложить в новой редакции согласно Приложению 1 к настоящему постановлению.</w:t>
      </w:r>
    </w:p>
    <w:p w:rsidR="00267E15" w:rsidRPr="00131D62" w:rsidRDefault="00267E15" w:rsidP="00267E15">
      <w:pPr>
        <w:numPr>
          <w:ilvl w:val="1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131D62">
        <w:rPr>
          <w:szCs w:val="28"/>
        </w:rPr>
        <w:t>Приложение</w:t>
      </w:r>
      <w:r>
        <w:rPr>
          <w:szCs w:val="28"/>
        </w:rPr>
        <w:t> № </w:t>
      </w:r>
      <w:r w:rsidRPr="00131D62">
        <w:rPr>
          <w:szCs w:val="28"/>
        </w:rPr>
        <w:t xml:space="preserve">1 к муниципальной программе изложить в новой </w:t>
      </w:r>
      <w:r>
        <w:rPr>
          <w:szCs w:val="28"/>
        </w:rPr>
        <w:t>редакции согласно Приложению 2</w:t>
      </w:r>
      <w:r w:rsidRPr="00840748">
        <w:rPr>
          <w:szCs w:val="28"/>
        </w:rPr>
        <w:t xml:space="preserve"> </w:t>
      </w:r>
      <w:r>
        <w:rPr>
          <w:szCs w:val="28"/>
        </w:rPr>
        <w:t>к настоящему постановлению</w:t>
      </w:r>
      <w:r w:rsidRPr="00131D62">
        <w:rPr>
          <w:szCs w:val="28"/>
        </w:rPr>
        <w:t>.</w:t>
      </w:r>
    </w:p>
    <w:p w:rsidR="00267E15" w:rsidRPr="00C9151E" w:rsidRDefault="00267E15" w:rsidP="00267E1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>Официально опубликовать настоящее постановление в газетах «Кинельская жизнь» или «Неделя Кинеля»</w:t>
      </w:r>
      <w:r>
        <w:rPr>
          <w:szCs w:val="28"/>
        </w:rPr>
        <w:t xml:space="preserve">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</w:t>
      </w:r>
      <w:r w:rsidRPr="00C9151E">
        <w:rPr>
          <w:szCs w:val="28"/>
        </w:rPr>
        <w:t>.</w:t>
      </w:r>
    </w:p>
    <w:p w:rsidR="00267E15" w:rsidRPr="00C9151E" w:rsidRDefault="00267E15" w:rsidP="00267E1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267E15" w:rsidRPr="00C9151E" w:rsidRDefault="00267E15" w:rsidP="00267E15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t>Контроль за</w:t>
      </w:r>
      <w:proofErr w:type="gramEnd"/>
      <w:r w:rsidRPr="00C9151E">
        <w:rPr>
          <w:szCs w:val="28"/>
        </w:rPr>
        <w:t xml:space="preserve"> исполнение</w:t>
      </w:r>
      <w:r>
        <w:rPr>
          <w:szCs w:val="28"/>
        </w:rPr>
        <w:t>м</w:t>
      </w:r>
      <w:r w:rsidRPr="00C9151E">
        <w:rPr>
          <w:szCs w:val="28"/>
        </w:rPr>
        <w:t xml:space="preserve"> настоящего постановления возложить на заместителя Главы городского округа по </w:t>
      </w:r>
      <w:r>
        <w:rPr>
          <w:szCs w:val="28"/>
        </w:rPr>
        <w:t>жилищно-коммунальному хозяйству</w:t>
      </w:r>
      <w:r w:rsidRPr="00C9151E">
        <w:rPr>
          <w:szCs w:val="28"/>
        </w:rPr>
        <w:t xml:space="preserve"> (Федотов С.Н.).</w:t>
      </w: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Pr="00303130" w:rsidRDefault="00267E15" w:rsidP="00267E15">
      <w:pPr>
        <w:rPr>
          <w:szCs w:val="28"/>
        </w:rPr>
      </w:pPr>
    </w:p>
    <w:p w:rsidR="00267E15" w:rsidRPr="00513890" w:rsidRDefault="00267E15" w:rsidP="00267E15">
      <w:pPr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13890">
        <w:rPr>
          <w:szCs w:val="28"/>
        </w:rPr>
        <w:tab/>
      </w:r>
      <w:r>
        <w:rPr>
          <w:szCs w:val="28"/>
        </w:rPr>
        <w:t>В.А.Чихирев</w:t>
      </w: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rPr>
          <w:szCs w:val="28"/>
        </w:rPr>
      </w:pPr>
    </w:p>
    <w:p w:rsidR="00267E15" w:rsidRDefault="00267E15" w:rsidP="00267E15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464" w:type="dxa"/>
        <w:tblLook w:val="01E0"/>
      </w:tblPr>
      <w:tblGrid>
        <w:gridCol w:w="5070"/>
        <w:gridCol w:w="4394"/>
      </w:tblGrid>
      <w:tr w:rsidR="00267E15" w:rsidRPr="003806AB" w:rsidTr="00334216">
        <w:trPr>
          <w:trHeight w:val="1698"/>
        </w:trPr>
        <w:tc>
          <w:tcPr>
            <w:tcW w:w="5070" w:type="dxa"/>
          </w:tcPr>
          <w:p w:rsidR="00267E15" w:rsidRPr="003806AB" w:rsidRDefault="00267E15" w:rsidP="003342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67E15" w:rsidRPr="003806AB" w:rsidRDefault="00267E15" w:rsidP="00334216">
            <w:pPr>
              <w:jc w:val="center"/>
              <w:rPr>
                <w:szCs w:val="28"/>
              </w:rPr>
            </w:pPr>
            <w:r w:rsidRPr="003806AB">
              <w:rPr>
                <w:szCs w:val="28"/>
              </w:rPr>
              <w:t>ПРИЛОЖЕНИЕ 1</w:t>
            </w:r>
          </w:p>
          <w:p w:rsidR="00267E15" w:rsidRPr="003806AB" w:rsidRDefault="00267E15" w:rsidP="00334216">
            <w:pPr>
              <w:jc w:val="center"/>
              <w:rPr>
                <w:szCs w:val="28"/>
              </w:rPr>
            </w:pPr>
            <w:r w:rsidRPr="003806AB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67E15" w:rsidRPr="003806AB" w:rsidRDefault="00267E15" w:rsidP="00334216">
            <w:pPr>
              <w:jc w:val="center"/>
              <w:rPr>
                <w:sz w:val="24"/>
                <w:szCs w:val="24"/>
                <w:u w:val="single"/>
              </w:rPr>
            </w:pPr>
            <w:r w:rsidRPr="003806AB">
              <w:rPr>
                <w:szCs w:val="28"/>
              </w:rPr>
              <w:t>от</w:t>
            </w:r>
            <w:r w:rsidRPr="003806AB">
              <w:rPr>
                <w:szCs w:val="28"/>
                <w:u w:val="single"/>
              </w:rPr>
              <w:t xml:space="preserve">                       </w:t>
            </w:r>
            <w:r w:rsidRPr="003806AB">
              <w:rPr>
                <w:szCs w:val="28"/>
              </w:rPr>
              <w:t>№______</w:t>
            </w:r>
          </w:p>
        </w:tc>
      </w:tr>
    </w:tbl>
    <w:p w:rsidR="00267E15" w:rsidRPr="003806AB" w:rsidRDefault="00267E15" w:rsidP="00267E15">
      <w:pPr>
        <w:jc w:val="both"/>
        <w:rPr>
          <w:szCs w:val="28"/>
        </w:rPr>
      </w:pPr>
    </w:p>
    <w:p w:rsidR="00267E15" w:rsidRDefault="00267E15" w:rsidP="00267E15">
      <w:pPr>
        <w:jc w:val="both"/>
        <w:rPr>
          <w:szCs w:val="28"/>
        </w:rPr>
      </w:pPr>
    </w:p>
    <w:p w:rsidR="00267E15" w:rsidRPr="0074768B" w:rsidRDefault="00267E15" w:rsidP="00267E15">
      <w:pPr>
        <w:ind w:firstLine="698"/>
        <w:jc w:val="right"/>
        <w:rPr>
          <w:b/>
          <w:sz w:val="27"/>
          <w:szCs w:val="27"/>
        </w:rPr>
      </w:pPr>
      <w:r>
        <w:rPr>
          <w:rStyle w:val="a4"/>
          <w:b w:val="0"/>
          <w:bCs/>
          <w:color w:val="auto"/>
          <w:sz w:val="27"/>
          <w:szCs w:val="27"/>
        </w:rPr>
        <w:t>«</w:t>
      </w:r>
      <w:r w:rsidRPr="0074768B">
        <w:rPr>
          <w:rStyle w:val="a4"/>
          <w:b w:val="0"/>
          <w:bCs/>
          <w:color w:val="auto"/>
          <w:sz w:val="27"/>
          <w:szCs w:val="27"/>
        </w:rPr>
        <w:t>Таблица 3.</w:t>
      </w:r>
    </w:p>
    <w:p w:rsidR="00267E15" w:rsidRDefault="00267E15" w:rsidP="00267E15">
      <w:pPr>
        <w:jc w:val="center"/>
        <w:rPr>
          <w:b/>
          <w:sz w:val="27"/>
          <w:szCs w:val="27"/>
        </w:rPr>
      </w:pPr>
      <w:r w:rsidRPr="0074768B">
        <w:rPr>
          <w:b/>
          <w:sz w:val="27"/>
          <w:szCs w:val="27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267E15" w:rsidRPr="0074768B" w:rsidRDefault="00267E15" w:rsidP="00267E15">
      <w:pPr>
        <w:jc w:val="center"/>
        <w:rPr>
          <w:b/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276"/>
        <w:gridCol w:w="1275"/>
        <w:gridCol w:w="1277"/>
        <w:gridCol w:w="1276"/>
        <w:gridCol w:w="1275"/>
      </w:tblGrid>
      <w:tr w:rsidR="00267E15" w:rsidRPr="00611440" w:rsidTr="00334216">
        <w:tc>
          <w:tcPr>
            <w:tcW w:w="1985" w:type="dxa"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программных мероприя</w:t>
            </w:r>
            <w:r w:rsidRPr="00611440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417" w:type="dxa"/>
          </w:tcPr>
          <w:p w:rsidR="00267E15" w:rsidRPr="00611440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Всего</w:t>
            </w:r>
          </w:p>
          <w:p w:rsidR="00267E15" w:rsidRPr="00611440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2014 год</w:t>
            </w:r>
          </w:p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2015 год</w:t>
            </w:r>
          </w:p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7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2016 год</w:t>
            </w:r>
          </w:p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2017 год</w:t>
            </w:r>
          </w:p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2018 год</w:t>
            </w:r>
          </w:p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267E15" w:rsidRPr="00611440" w:rsidTr="00334216">
        <w:tc>
          <w:tcPr>
            <w:tcW w:w="9781" w:type="dxa"/>
            <w:gridSpan w:val="7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E15" w:rsidRPr="00611440" w:rsidTr="00334216">
        <w:tc>
          <w:tcPr>
            <w:tcW w:w="1985" w:type="dxa"/>
            <w:vMerge w:val="restart"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КУ «Управле</w:t>
            </w:r>
            <w:r w:rsidRPr="00611440">
              <w:rPr>
                <w:rFonts w:ascii="Times New Roman" w:hAnsi="Times New Roman" w:cs="Times New Roman"/>
              </w:rPr>
              <w:t>ние ЖКХ» городского округа Кинель»</w:t>
            </w: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67E15" w:rsidRPr="00611440" w:rsidTr="00334216">
        <w:trPr>
          <w:trHeight w:val="556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7E15" w:rsidRPr="0064399E" w:rsidRDefault="00267E15" w:rsidP="003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74779,071</w:t>
            </w:r>
          </w:p>
        </w:tc>
        <w:tc>
          <w:tcPr>
            <w:tcW w:w="1276" w:type="dxa"/>
          </w:tcPr>
          <w:p w:rsidR="00267E15" w:rsidRPr="00523661" w:rsidRDefault="00267E15" w:rsidP="00334216">
            <w:pPr>
              <w:jc w:val="center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16321,794</w:t>
            </w:r>
          </w:p>
        </w:tc>
        <w:tc>
          <w:tcPr>
            <w:tcW w:w="1275" w:type="dxa"/>
          </w:tcPr>
          <w:p w:rsidR="00267E15" w:rsidRPr="00523661" w:rsidRDefault="00267E15" w:rsidP="00334216">
            <w:pPr>
              <w:jc w:val="center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39861,509</w:t>
            </w:r>
          </w:p>
        </w:tc>
        <w:tc>
          <w:tcPr>
            <w:tcW w:w="1277" w:type="dxa"/>
          </w:tcPr>
          <w:p w:rsidR="00267E15" w:rsidRPr="00523661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523661">
              <w:rPr>
                <w:rFonts w:ascii="Times New Roman" w:hAnsi="Times New Roman" w:cs="Times New Roman"/>
              </w:rPr>
              <w:t>18445,768</w:t>
            </w:r>
          </w:p>
        </w:tc>
        <w:tc>
          <w:tcPr>
            <w:tcW w:w="1276" w:type="dxa"/>
          </w:tcPr>
          <w:p w:rsidR="00267E15" w:rsidRPr="00523661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523661">
              <w:rPr>
                <w:rFonts w:ascii="Times New Roman" w:hAnsi="Times New Roman" w:cs="Times New Roman"/>
                <w:lang w:val="en-US"/>
              </w:rPr>
              <w:t>75</w:t>
            </w:r>
            <w:r w:rsidRPr="005236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611440">
              <w:rPr>
                <w:rFonts w:ascii="Times New Roman" w:hAnsi="Times New Roman" w:cs="Times New Roman"/>
              </w:rPr>
              <w:t>,0</w:t>
            </w:r>
          </w:p>
        </w:tc>
      </w:tr>
      <w:tr w:rsidR="00267E15" w:rsidRPr="00611440" w:rsidTr="00334216"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67E15" w:rsidRPr="00611440" w:rsidTr="00334216">
        <w:trPr>
          <w:trHeight w:val="609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67E15" w:rsidRPr="00611440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58615,096</w:t>
            </w:r>
          </w:p>
        </w:tc>
        <w:tc>
          <w:tcPr>
            <w:tcW w:w="1276" w:type="dxa"/>
            <w:vAlign w:val="center"/>
          </w:tcPr>
          <w:p w:rsidR="00267E15" w:rsidRPr="00611440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23286,923</w:t>
            </w:r>
          </w:p>
        </w:tc>
        <w:tc>
          <w:tcPr>
            <w:tcW w:w="1275" w:type="dxa"/>
            <w:vAlign w:val="center"/>
          </w:tcPr>
          <w:p w:rsidR="00267E15" w:rsidRPr="00611440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35328,173</w:t>
            </w:r>
          </w:p>
        </w:tc>
        <w:tc>
          <w:tcPr>
            <w:tcW w:w="1277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</w:tr>
      <w:tr w:rsidR="00267E15" w:rsidRPr="00611440" w:rsidTr="00334216">
        <w:tc>
          <w:tcPr>
            <w:tcW w:w="1985" w:type="dxa"/>
            <w:vMerge w:val="restart"/>
          </w:tcPr>
          <w:p w:rsidR="00267E15" w:rsidRPr="00611440" w:rsidRDefault="00267E15" w:rsidP="0033421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 xml:space="preserve">МБУ «Служба благоустройства и содержания </w:t>
            </w:r>
            <w:proofErr w:type="gramStart"/>
            <w:r w:rsidRPr="00611440">
              <w:rPr>
                <w:rFonts w:ascii="Times New Roman" w:hAnsi="Times New Roman" w:cs="Times New Roman"/>
              </w:rPr>
              <w:t>г</w:t>
            </w:r>
            <w:proofErr w:type="gramEnd"/>
            <w:r w:rsidRPr="00611440">
              <w:rPr>
                <w:rFonts w:ascii="Times New Roman" w:hAnsi="Times New Roman" w:cs="Times New Roman"/>
              </w:rPr>
              <w:t>.о. Кинель»</w:t>
            </w: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67E15" w:rsidRPr="00611440" w:rsidTr="00334216">
        <w:trPr>
          <w:trHeight w:val="658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7E15" w:rsidRPr="00357A9E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9E">
              <w:rPr>
                <w:rFonts w:ascii="Times New Roman" w:hAnsi="Times New Roman" w:cs="Times New Roman"/>
              </w:rPr>
              <w:t>10026,511</w:t>
            </w:r>
          </w:p>
        </w:tc>
        <w:tc>
          <w:tcPr>
            <w:tcW w:w="1276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7591,725</w:t>
            </w:r>
          </w:p>
        </w:tc>
        <w:tc>
          <w:tcPr>
            <w:tcW w:w="1276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9E">
              <w:rPr>
                <w:rFonts w:ascii="Times New Roman" w:hAnsi="Times New Roman" w:cs="Times New Roman"/>
              </w:rPr>
              <w:t>20</w:t>
            </w:r>
            <w:r w:rsidRPr="00357A9E">
              <w:rPr>
                <w:rFonts w:ascii="Times New Roman" w:hAnsi="Times New Roman" w:cs="Times New Roman"/>
                <w:lang w:val="en-US"/>
              </w:rPr>
              <w:t>23</w:t>
            </w:r>
            <w:r w:rsidRPr="00357A9E">
              <w:rPr>
                <w:rFonts w:ascii="Times New Roman" w:hAnsi="Times New Roman" w:cs="Times New Roman"/>
              </w:rPr>
              <w:t>,</w:t>
            </w:r>
            <w:r w:rsidRPr="00357A9E">
              <w:rPr>
                <w:rFonts w:ascii="Times New Roman" w:hAnsi="Times New Roman" w:cs="Times New Roman"/>
                <w:lang w:val="en-US"/>
              </w:rPr>
              <w:t>269</w:t>
            </w:r>
          </w:p>
        </w:tc>
        <w:tc>
          <w:tcPr>
            <w:tcW w:w="1275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9E">
              <w:rPr>
                <w:rFonts w:ascii="Times New Roman" w:hAnsi="Times New Roman" w:cs="Times New Roman"/>
              </w:rPr>
              <w:t>411,517</w:t>
            </w:r>
          </w:p>
        </w:tc>
      </w:tr>
      <w:tr w:rsidR="00267E15" w:rsidRPr="00611440" w:rsidTr="00334216">
        <w:trPr>
          <w:trHeight w:val="270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67E15" w:rsidRPr="00611440" w:rsidTr="00334216"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7E15" w:rsidRPr="00611440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</w:tr>
      <w:tr w:rsidR="00267E15" w:rsidRPr="00611440" w:rsidTr="00334216">
        <w:tc>
          <w:tcPr>
            <w:tcW w:w="1985" w:type="dxa"/>
            <w:vMerge w:val="restart"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архитек</w:t>
            </w:r>
            <w:r w:rsidRPr="00611440">
              <w:rPr>
                <w:rFonts w:ascii="Times New Roman" w:hAnsi="Times New Roman" w:cs="Times New Roman"/>
              </w:rPr>
              <w:t xml:space="preserve">туры и </w:t>
            </w:r>
            <w:proofErr w:type="spellStart"/>
            <w:proofErr w:type="gramStart"/>
            <w:r w:rsidRPr="00611440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дострои-тельства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админист</w:t>
            </w:r>
            <w:r w:rsidRPr="00611440">
              <w:rPr>
                <w:rFonts w:ascii="Times New Roman" w:hAnsi="Times New Roman" w:cs="Times New Roman"/>
              </w:rPr>
              <w:t>рации г.о. Кинель</w:t>
            </w: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67E15" w:rsidRPr="00611440" w:rsidTr="00334216">
        <w:trPr>
          <w:trHeight w:val="954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7E15" w:rsidRPr="00357A9E" w:rsidRDefault="00267E15" w:rsidP="00334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105900,09</w:t>
            </w:r>
          </w:p>
        </w:tc>
        <w:tc>
          <w:tcPr>
            <w:tcW w:w="1276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52592,346</w:t>
            </w:r>
          </w:p>
        </w:tc>
        <w:tc>
          <w:tcPr>
            <w:tcW w:w="1276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38284,74</w:t>
            </w:r>
          </w:p>
        </w:tc>
        <w:tc>
          <w:tcPr>
            <w:tcW w:w="1275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15023,004</w:t>
            </w:r>
          </w:p>
        </w:tc>
      </w:tr>
      <w:tr w:rsidR="00267E15" w:rsidRPr="00611440" w:rsidTr="00334216">
        <w:trPr>
          <w:trHeight w:val="270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67E15" w:rsidRPr="00611440" w:rsidTr="00334216"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7E15" w:rsidRPr="000F0951" w:rsidRDefault="00267E15" w:rsidP="00334216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0F0951">
              <w:rPr>
                <w:rFonts w:ascii="Calibri" w:hAnsi="Calibri"/>
                <w:color w:val="000000"/>
                <w:sz w:val="24"/>
                <w:szCs w:val="24"/>
              </w:rPr>
              <w:t>174034,518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41801,018</w:t>
            </w:r>
          </w:p>
        </w:tc>
        <w:tc>
          <w:tcPr>
            <w:tcW w:w="1276" w:type="dxa"/>
          </w:tcPr>
          <w:p w:rsidR="00267E15" w:rsidRPr="000754CB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0754CB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0754C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62233,5</w:t>
            </w:r>
          </w:p>
        </w:tc>
      </w:tr>
      <w:tr w:rsidR="00267E15" w:rsidRPr="00611440" w:rsidTr="00334216">
        <w:tc>
          <w:tcPr>
            <w:tcW w:w="1985" w:type="dxa"/>
            <w:vMerge w:val="restart"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</w:t>
            </w:r>
            <w:r w:rsidRPr="00611440">
              <w:rPr>
                <w:rFonts w:ascii="Times New Roman" w:hAnsi="Times New Roman" w:cs="Times New Roman"/>
              </w:rPr>
              <w:t>рация г.о.Кинель</w:t>
            </w: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67E15" w:rsidRPr="00611440" w:rsidTr="00334216">
        <w:trPr>
          <w:trHeight w:val="954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7E15" w:rsidRPr="00357A9E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11463,11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357A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A9E">
              <w:rPr>
                <w:rFonts w:ascii="Times New Roman" w:hAnsi="Times New Roman" w:cs="Times New Roman"/>
                <w:lang w:val="en-US"/>
              </w:rPr>
              <w:t>5580</w:t>
            </w:r>
            <w:r w:rsidRPr="00357A9E">
              <w:rPr>
                <w:rFonts w:ascii="Times New Roman" w:hAnsi="Times New Roman" w:cs="Times New Roman"/>
              </w:rPr>
              <w:t>,</w:t>
            </w:r>
            <w:r w:rsidRPr="00357A9E">
              <w:rPr>
                <w:rFonts w:ascii="Times New Roman" w:hAnsi="Times New Roman" w:cs="Times New Roman"/>
                <w:lang w:val="en-US"/>
              </w:rPr>
              <w:t>528</w:t>
            </w:r>
          </w:p>
        </w:tc>
        <w:tc>
          <w:tcPr>
            <w:tcW w:w="1275" w:type="dxa"/>
          </w:tcPr>
          <w:p w:rsidR="00267E15" w:rsidRPr="00357A9E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5882,586</w:t>
            </w:r>
          </w:p>
        </w:tc>
      </w:tr>
      <w:tr w:rsidR="00267E15" w:rsidRPr="00611440" w:rsidTr="00334216">
        <w:trPr>
          <w:trHeight w:val="270"/>
        </w:trPr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67E15" w:rsidRPr="00611440" w:rsidTr="00334216">
        <w:tc>
          <w:tcPr>
            <w:tcW w:w="1985" w:type="dxa"/>
            <w:vMerge/>
          </w:tcPr>
          <w:p w:rsidR="00267E15" w:rsidRPr="00611440" w:rsidRDefault="00267E15" w:rsidP="003342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7E15" w:rsidRPr="00611440" w:rsidRDefault="00267E15" w:rsidP="003342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267E15" w:rsidRPr="00611440" w:rsidRDefault="00267E15" w:rsidP="00334216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</w:tr>
    </w:tbl>
    <w:p w:rsidR="00267E15" w:rsidRDefault="00267E15" w:rsidP="00267E15">
      <w:pPr>
        <w:jc w:val="both"/>
        <w:rPr>
          <w:szCs w:val="28"/>
        </w:rPr>
      </w:pPr>
      <w:r>
        <w:rPr>
          <w:szCs w:val="28"/>
        </w:rPr>
        <w:t>»</w:t>
      </w:r>
    </w:p>
    <w:p w:rsidR="00267E15" w:rsidRDefault="00267E15" w:rsidP="00267E15">
      <w:pPr>
        <w:jc w:val="both"/>
        <w:rPr>
          <w:szCs w:val="28"/>
        </w:rPr>
      </w:pPr>
    </w:p>
    <w:p w:rsidR="00267E15" w:rsidRDefault="00267E15" w:rsidP="00267E15">
      <w:pPr>
        <w:jc w:val="both"/>
        <w:rPr>
          <w:szCs w:val="28"/>
        </w:rPr>
      </w:pPr>
    </w:p>
    <w:p w:rsidR="00267E15" w:rsidRDefault="00267E15" w:rsidP="00267E15">
      <w:pPr>
        <w:jc w:val="both"/>
      </w:pPr>
    </w:p>
    <w:p w:rsidR="00267E15" w:rsidRPr="00812B92" w:rsidRDefault="00267E15" w:rsidP="00267E15">
      <w:pPr>
        <w:rPr>
          <w:szCs w:val="28"/>
        </w:rPr>
        <w:sectPr w:rsidR="00267E15" w:rsidRPr="00812B92" w:rsidSect="002E20A9">
          <w:pgSz w:w="11906" w:h="16838"/>
          <w:pgMar w:top="1276" w:right="849" w:bottom="993" w:left="1701" w:header="708" w:footer="708" w:gutter="0"/>
          <w:cols w:space="708"/>
          <w:docGrid w:linePitch="381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267E15" w:rsidRPr="0049522F" w:rsidTr="00334216">
        <w:tc>
          <w:tcPr>
            <w:tcW w:w="8188" w:type="dxa"/>
          </w:tcPr>
          <w:p w:rsidR="00267E15" w:rsidRPr="000429B9" w:rsidRDefault="00267E15" w:rsidP="0033421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67E15" w:rsidRPr="004E346A" w:rsidRDefault="00267E15" w:rsidP="00334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2</w:t>
            </w:r>
          </w:p>
          <w:p w:rsidR="00267E15" w:rsidRPr="004E346A" w:rsidRDefault="00267E15" w:rsidP="00334216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67E15" w:rsidRPr="00625AF0" w:rsidRDefault="00267E15" w:rsidP="00334216">
            <w:pPr>
              <w:spacing w:after="120"/>
              <w:jc w:val="center"/>
              <w:rPr>
                <w:sz w:val="24"/>
                <w:szCs w:val="24"/>
              </w:rPr>
            </w:pPr>
            <w:r w:rsidRPr="00625AF0">
              <w:rPr>
                <w:szCs w:val="28"/>
              </w:rPr>
              <w:t>от</w:t>
            </w:r>
            <w:r w:rsidRPr="00625AF0">
              <w:rPr>
                <w:szCs w:val="28"/>
                <w:u w:val="single"/>
              </w:rPr>
              <w:t xml:space="preserve">                     </w:t>
            </w:r>
            <w:r w:rsidRPr="00625AF0">
              <w:rPr>
                <w:szCs w:val="28"/>
              </w:rPr>
              <w:t>№_______</w:t>
            </w:r>
          </w:p>
          <w:p w:rsidR="00267E15" w:rsidRPr="009C2CF3" w:rsidRDefault="00267E15" w:rsidP="00334216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C2CF3">
              <w:rPr>
                <w:szCs w:val="28"/>
              </w:rPr>
              <w:t>Приложение № 1</w:t>
            </w:r>
          </w:p>
          <w:p w:rsidR="00267E15" w:rsidRPr="00743A41" w:rsidRDefault="00267E15" w:rsidP="00334216">
            <w:pPr>
              <w:ind w:left="34"/>
              <w:jc w:val="center"/>
              <w:rPr>
                <w:szCs w:val="28"/>
              </w:rPr>
            </w:pPr>
            <w:proofErr w:type="gramStart"/>
            <w:r w:rsidRPr="009C2CF3"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 w:rsidRPr="009C2CF3">
              <w:rPr>
                <w:szCs w:val="28"/>
                <w:u w:val="single"/>
              </w:rPr>
              <w:t>(</w:t>
            </w:r>
            <w:r>
              <w:rPr>
                <w:szCs w:val="28"/>
              </w:rPr>
              <w:t>с изменениями</w:t>
            </w:r>
            <w:r w:rsidRPr="000C499A">
              <w:rPr>
                <w:szCs w:val="28"/>
              </w:rPr>
              <w:t xml:space="preserve"> от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31.01.2014, от 07.07.2014, от 29.07.2014, от 02.09.2014, от 22.09.2014, от 24.10.2014, от 08.12.2014, от 09.02.2015</w:t>
            </w:r>
            <w:r>
              <w:rPr>
                <w:szCs w:val="28"/>
              </w:rPr>
              <w:t>, от 06.04.2015</w:t>
            </w:r>
            <w:r w:rsidRPr="00C00B16">
              <w:rPr>
                <w:szCs w:val="28"/>
              </w:rPr>
              <w:t>, от 02.06.2015, от 15.07.2015</w:t>
            </w:r>
            <w:r>
              <w:rPr>
                <w:szCs w:val="28"/>
              </w:rPr>
              <w:t>, от 04.09.2015, от 29.10.2015, от 31.12.2015, от 14.03.2017, от 18.05.2017,</w:t>
            </w:r>
            <w:r w:rsidRPr="000E77D4">
              <w:rPr>
                <w:szCs w:val="28"/>
              </w:rPr>
              <w:t xml:space="preserve"> </w:t>
            </w:r>
            <w:r w:rsidRPr="004E346A">
              <w:rPr>
                <w:szCs w:val="28"/>
              </w:rPr>
              <w:t>от</w:t>
            </w:r>
            <w:r w:rsidRPr="00CC071E">
              <w:rPr>
                <w:szCs w:val="28"/>
              </w:rPr>
              <w:t> 29.12.2017</w:t>
            </w:r>
            <w:r>
              <w:rPr>
                <w:szCs w:val="28"/>
              </w:rPr>
              <w:t>, от 13.03.2018, от 28.09.2018</w:t>
            </w:r>
            <w:r w:rsidRPr="009E166C">
              <w:rPr>
                <w:szCs w:val="28"/>
              </w:rPr>
              <w:t>)</w:t>
            </w:r>
            <w:proofErr w:type="gramEnd"/>
          </w:p>
        </w:tc>
      </w:tr>
    </w:tbl>
    <w:p w:rsidR="00267E15" w:rsidRDefault="00267E15" w:rsidP="00267E15">
      <w:pPr>
        <w:pStyle w:val="1"/>
        <w:spacing w:line="240" w:lineRule="auto"/>
        <w:jc w:val="center"/>
        <w:rPr>
          <w:szCs w:val="24"/>
        </w:rPr>
      </w:pPr>
    </w:p>
    <w:p w:rsidR="00267E15" w:rsidRPr="0049522F" w:rsidRDefault="00267E15" w:rsidP="00267E15">
      <w:pPr>
        <w:pStyle w:val="1"/>
        <w:spacing w:line="240" w:lineRule="auto"/>
        <w:jc w:val="center"/>
        <w:rPr>
          <w:szCs w:val="24"/>
        </w:rPr>
      </w:pPr>
      <w:r w:rsidRPr="0049522F">
        <w:rPr>
          <w:szCs w:val="24"/>
        </w:rPr>
        <w:t>Перечень программных мероприятий</w:t>
      </w:r>
    </w:p>
    <w:tbl>
      <w:tblPr>
        <w:tblW w:w="15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848"/>
        <w:gridCol w:w="847"/>
        <w:gridCol w:w="1456"/>
        <w:gridCol w:w="1311"/>
        <w:gridCol w:w="1307"/>
        <w:gridCol w:w="1290"/>
        <w:gridCol w:w="1261"/>
        <w:gridCol w:w="1276"/>
        <w:gridCol w:w="2702"/>
      </w:tblGrid>
      <w:tr w:rsidR="00267E15" w:rsidRPr="00EB6872" w:rsidTr="00334216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68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6872">
              <w:rPr>
                <w:sz w:val="24"/>
                <w:szCs w:val="24"/>
              </w:rPr>
              <w:t>/</w:t>
            </w:r>
            <w:proofErr w:type="spellStart"/>
            <w:r w:rsidRPr="00EB68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7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Исполнитель</w:t>
            </w:r>
          </w:p>
        </w:tc>
      </w:tr>
      <w:tr w:rsidR="00267E15" w:rsidRPr="00EB6872" w:rsidTr="00334216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15952" w:type="dxa"/>
            <w:gridSpan w:val="10"/>
            <w:tcBorders>
              <w:top w:val="double" w:sz="4" w:space="0" w:color="auto"/>
            </w:tcBorders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1.1.</w:t>
            </w: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Освещение тематики безопасности дорожного движения в СМИ: газетах «Кинельская жизнь», «Неделя Кинеля», на сайте городского округа Кинель (по предоставлению информации ОГИБДД МО МВД России </w:t>
            </w:r>
            <w:r w:rsidRPr="00EB6872">
              <w:rPr>
                <w:sz w:val="24"/>
                <w:szCs w:val="24"/>
              </w:rPr>
              <w:lastRenderedPageBreak/>
              <w:t>«Кинельский»)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lastRenderedPageBreak/>
              <w:t>2014 - 2018</w:t>
            </w: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В рамках финансирования</w:t>
            </w:r>
          </w:p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Администрация городского округа Кинель Самарской области 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2014 -2018</w:t>
            </w: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В рамках финансирования</w:t>
            </w:r>
          </w:p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МБУ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EB6872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15952" w:type="dxa"/>
            <w:gridSpan w:val="10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2014 -201</w:t>
            </w:r>
            <w:r w:rsidRPr="00EB68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46440,888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2764,6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7111,273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t>МКУ «Управление ЖКХ» городского округа Кинель»</w:t>
            </w:r>
            <w:r w:rsidRPr="00EB6872">
              <w:rPr>
                <w:bCs/>
                <w:sz w:val="24"/>
                <w:szCs w:val="24"/>
              </w:rPr>
              <w:t xml:space="preserve"> (далее - МКУ «Управление ЖКХ»)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ind w:left="36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11989,413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23163,319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1412,283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bCs/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</w:t>
            </w:r>
            <w:r w:rsidRPr="00EB6872">
              <w:rPr>
                <w:sz w:val="24"/>
                <w:szCs w:val="24"/>
              </w:rPr>
              <w:lastRenderedPageBreak/>
              <w:t>архитектуры и градостроительства)</w:t>
            </w:r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7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2014 -2015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581,92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309,9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272,02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2016 -2018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67E15" w:rsidRPr="00EB6872" w:rsidTr="00334216">
        <w:trPr>
          <w:trHeight w:val="339"/>
        </w:trPr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Ремонт автодорог, тротуаров (софинансирование)</w:t>
            </w:r>
          </w:p>
        </w:tc>
        <w:tc>
          <w:tcPr>
            <w:tcW w:w="847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2014 -2015</w:t>
            </w:r>
          </w:p>
        </w:tc>
        <w:tc>
          <w:tcPr>
            <w:tcW w:w="1456" w:type="dxa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rPr>
          <w:trHeight w:val="348"/>
        </w:trPr>
        <w:tc>
          <w:tcPr>
            <w:tcW w:w="654" w:type="dxa"/>
            <w:vMerge/>
            <w:vAlign w:val="center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3910,336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1845,236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2065,1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320"/>
        </w:trPr>
        <w:tc>
          <w:tcPr>
            <w:tcW w:w="654" w:type="dxa"/>
            <w:vMerge/>
            <w:vAlign w:val="center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360"/>
        </w:trPr>
        <w:tc>
          <w:tcPr>
            <w:tcW w:w="654" w:type="dxa"/>
            <w:vMerge/>
            <w:vAlign w:val="center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58615,096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23286,923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35328,173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339"/>
        </w:trPr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2016 -2018</w:t>
            </w:r>
          </w:p>
        </w:tc>
        <w:tc>
          <w:tcPr>
            <w:tcW w:w="1456" w:type="dxa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67E15" w:rsidRPr="00EB6872" w:rsidTr="00334216">
        <w:trPr>
          <w:trHeight w:val="348"/>
        </w:trPr>
        <w:tc>
          <w:tcPr>
            <w:tcW w:w="654" w:type="dxa"/>
            <w:vMerge/>
            <w:vAlign w:val="center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2000,0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2000,0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320"/>
        </w:trPr>
        <w:tc>
          <w:tcPr>
            <w:tcW w:w="654" w:type="dxa"/>
            <w:vMerge/>
            <w:vAlign w:val="center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</w:tcPr>
          <w:p w:rsidR="00267E15" w:rsidRPr="00EB6872" w:rsidRDefault="00267E15" w:rsidP="00334216">
            <w:pPr>
              <w:ind w:left="92"/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360"/>
        </w:trPr>
        <w:tc>
          <w:tcPr>
            <w:tcW w:w="654" w:type="dxa"/>
            <w:vMerge/>
            <w:vAlign w:val="center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41801,018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41801,018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20209,881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4127,706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7379,4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8702,775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МКУ «Управление ЖКХ»</w:t>
            </w:r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2014 -2015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285,13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285,13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2016 -2018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Поставка щебня и природной песчано-гравийной смеси для дорожных работ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2014 -201</w:t>
            </w:r>
            <w:r w:rsidRPr="00EB68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6989.44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300,0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1626,1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5063,34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210.0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10,0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100,0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Ремонт грунтовых дорог 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2014 -201</w:t>
            </w:r>
            <w:r w:rsidRPr="00EB68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12862</w:t>
            </w:r>
            <w:r w:rsidRPr="00EB6872">
              <w:rPr>
                <w:sz w:val="24"/>
                <w:szCs w:val="24"/>
                <w:lang w:val="en-US"/>
              </w:rPr>
              <w:t>.625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974</w:t>
            </w:r>
            <w:r w:rsidRPr="00EB6872"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2386,9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1910,0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7591,725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МБУ «СБСК»</w:t>
            </w:r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2014 -201</w:t>
            </w:r>
            <w:r w:rsidRPr="00EB68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3450,224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1392,576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719,1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493,252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600,789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244,507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МБУ «СБСК»</w:t>
            </w:r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2014 -201</w:t>
            </w:r>
            <w:r w:rsidRPr="00EB687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4583,10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858,6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1096,25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1038,76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bCs/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МКУ «Управление ЖКХ»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1422,</w:t>
            </w:r>
            <w:r w:rsidRPr="00EB6872">
              <w:rPr>
                <w:sz w:val="24"/>
                <w:szCs w:val="24"/>
                <w:lang w:val="en-US"/>
              </w:rPr>
              <w:t>4</w:t>
            </w:r>
            <w:r w:rsidRPr="00EB687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167,01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МБУ «СБСК»</w:t>
            </w:r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2014 -2016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</w:t>
            </w:r>
            <w:r w:rsidRPr="00EB6872">
              <w:rPr>
                <w:sz w:val="24"/>
                <w:szCs w:val="24"/>
                <w:lang w:val="en-US"/>
              </w:rPr>
              <w:t>7</w:t>
            </w:r>
            <w:r w:rsidRPr="00EB6872">
              <w:rPr>
                <w:sz w:val="24"/>
                <w:szCs w:val="24"/>
              </w:rPr>
              <w:t>36,19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1914,17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722,02*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2017 -2018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МБУ «СБСК»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152.403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114,762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37,641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Приобретение и установка светофорных объектов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2014 201</w:t>
            </w:r>
            <w:r w:rsidRPr="00EB687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2086.244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15</w:t>
            </w:r>
            <w:r w:rsidRPr="00EB6872">
              <w:rPr>
                <w:sz w:val="24"/>
                <w:szCs w:val="24"/>
                <w:lang w:val="en-US"/>
              </w:rPr>
              <w:t>47</w:t>
            </w:r>
            <w:r w:rsidRPr="00EB6872">
              <w:rPr>
                <w:sz w:val="24"/>
                <w:szCs w:val="24"/>
              </w:rPr>
              <w:t>,244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539,0**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</w:t>
            </w:r>
            <w:r w:rsidRPr="00EB6872">
              <w:rPr>
                <w:sz w:val="24"/>
                <w:szCs w:val="24"/>
                <w:lang w:val="en-US"/>
              </w:rPr>
              <w:t>6</w:t>
            </w:r>
            <w:r w:rsidRPr="00EB6872">
              <w:rPr>
                <w:sz w:val="24"/>
                <w:szCs w:val="24"/>
              </w:rPr>
              <w:t>-2018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Управление архитектуры и </w:t>
            </w:r>
            <w:r w:rsidRPr="00EB6872">
              <w:rPr>
                <w:sz w:val="24"/>
                <w:szCs w:val="24"/>
              </w:rPr>
              <w:lastRenderedPageBreak/>
              <w:t>градостроительства</w:t>
            </w:r>
          </w:p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47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2014-2018</w:t>
            </w: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25210,839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20560,839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4650,0</w:t>
            </w:r>
            <w:r w:rsidRPr="00EB6872"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14144,035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i/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14144,035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</w:t>
            </w:r>
            <w:r w:rsidRPr="00EB6872">
              <w:rPr>
                <w:sz w:val="24"/>
                <w:szCs w:val="24"/>
                <w:lang w:val="en-US"/>
              </w:rPr>
              <w:t>4</w:t>
            </w:r>
            <w:r w:rsidRPr="00EB6872">
              <w:rPr>
                <w:sz w:val="24"/>
                <w:szCs w:val="24"/>
              </w:rPr>
              <w:t xml:space="preserve"> -2015</w:t>
            </w:r>
          </w:p>
        </w:tc>
        <w:tc>
          <w:tcPr>
            <w:tcW w:w="1456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363,0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163,0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rPr>
          <w:trHeight w:val="73"/>
        </w:trPr>
        <w:tc>
          <w:tcPr>
            <w:tcW w:w="654" w:type="dxa"/>
            <w:vMerge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2016 -2018</w:t>
            </w:r>
          </w:p>
        </w:tc>
        <w:tc>
          <w:tcPr>
            <w:tcW w:w="1456" w:type="dxa"/>
            <w:vMerge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162,0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38,0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267E15">
            <w:pPr>
              <w:pStyle w:val="a3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Разработка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2016-2018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1150</w:t>
            </w:r>
            <w:r w:rsidRPr="00EB6872">
              <w:rPr>
                <w:sz w:val="24"/>
                <w:szCs w:val="24"/>
              </w:rPr>
              <w:t>,0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ind w:left="-107" w:right="34"/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1000,0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75.</w:t>
            </w: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75.</w:t>
            </w:r>
            <w:r w:rsidRPr="00EB6872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МКУ «Управление ЖКХ»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247782,369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59630,466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ind w:left="-107" w:right="34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102550,763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44055,623</w:t>
            </w:r>
          </w:p>
        </w:tc>
        <w:tc>
          <w:tcPr>
            <w:tcW w:w="1276" w:type="dxa"/>
            <w:vAlign w:val="center"/>
          </w:tcPr>
          <w:p w:rsidR="00267E15" w:rsidRPr="003806AB" w:rsidRDefault="00267E15" w:rsidP="00334216">
            <w:pPr>
              <w:ind w:left="-107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 w:rsidRPr="00EB6872">
              <w:rPr>
                <w:b/>
                <w:sz w:val="24"/>
                <w:szCs w:val="24"/>
              </w:rPr>
              <w:t>1936,8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702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15952" w:type="dxa"/>
            <w:gridSpan w:val="10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Раздел 3. Муниципальный дорожный фонд</w:t>
            </w:r>
            <w:proofErr w:type="gramStart"/>
            <w:r w:rsidRPr="00EB6872"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267E15" w:rsidRPr="00EB6872" w:rsidTr="00334216">
        <w:tc>
          <w:tcPr>
            <w:tcW w:w="654" w:type="dxa"/>
            <w:vMerge w:val="restart"/>
          </w:tcPr>
          <w:p w:rsidR="00267E15" w:rsidRPr="00EB6872" w:rsidRDefault="00267E15" w:rsidP="00267E15">
            <w:pPr>
              <w:pStyle w:val="a3"/>
              <w:numPr>
                <w:ilvl w:val="1"/>
                <w:numId w:val="2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7" w:type="dxa"/>
            <w:vMerge w:val="restart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15559,216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15559,216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901" w:type="dxa"/>
            <w:gridSpan w:val="6"/>
            <w:shd w:val="clear" w:color="auto" w:fill="auto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41924,236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17880,094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10471,421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13572,721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654" w:type="dxa"/>
            <w:vMerge/>
          </w:tcPr>
          <w:p w:rsidR="00267E15" w:rsidRPr="00EB6872" w:rsidRDefault="00267E15" w:rsidP="0033421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118089,465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55855,965</w:t>
            </w:r>
          </w:p>
        </w:tc>
        <w:tc>
          <w:tcPr>
            <w:tcW w:w="1276" w:type="dxa"/>
            <w:vAlign w:val="center"/>
          </w:tcPr>
          <w:p w:rsidR="00267E15" w:rsidRPr="003806AB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</w:rPr>
              <w:t>62233,5</w:t>
            </w:r>
          </w:p>
        </w:tc>
        <w:tc>
          <w:tcPr>
            <w:tcW w:w="2702" w:type="dxa"/>
            <w:vMerge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</w:p>
        </w:tc>
      </w:tr>
      <w:tr w:rsidR="00267E15" w:rsidRPr="00EB6872" w:rsidTr="00334216">
        <w:trPr>
          <w:trHeight w:val="549"/>
        </w:trPr>
        <w:tc>
          <w:tcPr>
            <w:tcW w:w="654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175572,917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EB6872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15559,216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17880,094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66327,386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75806,221</w:t>
            </w:r>
          </w:p>
        </w:tc>
        <w:tc>
          <w:tcPr>
            <w:tcW w:w="2702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15952" w:type="dxa"/>
            <w:gridSpan w:val="10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Раздел 4. Профилактика детского дорожно-транспортного травматизма.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267E15">
            <w:pPr>
              <w:pStyle w:val="a3"/>
              <w:numPr>
                <w:ilvl w:val="1"/>
                <w:numId w:val="3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Участие в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2014 -2018</w:t>
            </w:r>
          </w:p>
        </w:tc>
        <w:tc>
          <w:tcPr>
            <w:tcW w:w="7901" w:type="dxa"/>
            <w:gridSpan w:val="6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В рамках финансирования</w:t>
            </w:r>
          </w:p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МБУ ДМО «Альянс молодых»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15952" w:type="dxa"/>
            <w:gridSpan w:val="10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Раздел 5.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5.1.</w:t>
            </w: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2017-2018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11463,113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B687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5580,528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5882,585</w:t>
            </w:r>
          </w:p>
        </w:tc>
        <w:tc>
          <w:tcPr>
            <w:tcW w:w="2702" w:type="dxa"/>
            <w:vAlign w:val="center"/>
          </w:tcPr>
          <w:p w:rsidR="00267E15" w:rsidRPr="00EB6872" w:rsidRDefault="00267E15" w:rsidP="00334216">
            <w:pPr>
              <w:contextualSpacing/>
              <w:rPr>
                <w:sz w:val="24"/>
                <w:szCs w:val="24"/>
              </w:rPr>
            </w:pPr>
            <w:r w:rsidRPr="00EB6872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11463,113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ind w:left="-107" w:right="-108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EB6872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EB6872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EB6872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5580,528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5882,585</w:t>
            </w:r>
          </w:p>
        </w:tc>
        <w:tc>
          <w:tcPr>
            <w:tcW w:w="2702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67E15" w:rsidRPr="00EB6872" w:rsidTr="00334216">
        <w:tc>
          <w:tcPr>
            <w:tcW w:w="654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47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434818,399</w:t>
            </w:r>
          </w:p>
        </w:tc>
        <w:tc>
          <w:tcPr>
            <w:tcW w:w="1311" w:type="dxa"/>
            <w:vAlign w:val="center"/>
          </w:tcPr>
          <w:p w:rsidR="00267E15" w:rsidRPr="00EB6872" w:rsidRDefault="00267E15" w:rsidP="00334216">
            <w:pPr>
              <w:ind w:left="-107" w:right="-108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75189,682</w:t>
            </w:r>
          </w:p>
        </w:tc>
        <w:tc>
          <w:tcPr>
            <w:tcW w:w="1290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120430,857</w:t>
            </w:r>
          </w:p>
        </w:tc>
        <w:tc>
          <w:tcPr>
            <w:tcW w:w="1261" w:type="dxa"/>
            <w:vAlign w:val="center"/>
          </w:tcPr>
          <w:p w:rsidR="00267E15" w:rsidRPr="00EB6872" w:rsidRDefault="00267E15" w:rsidP="00334216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115963,537</w:t>
            </w:r>
          </w:p>
        </w:tc>
        <w:tc>
          <w:tcPr>
            <w:tcW w:w="1276" w:type="dxa"/>
            <w:vAlign w:val="center"/>
          </w:tcPr>
          <w:p w:rsidR="00267E15" w:rsidRPr="00EB6872" w:rsidRDefault="00267E15" w:rsidP="00334216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B687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EB6872">
              <w:rPr>
                <w:b/>
                <w:sz w:val="24"/>
                <w:szCs w:val="24"/>
              </w:rPr>
              <w:t>625,606</w:t>
            </w:r>
          </w:p>
        </w:tc>
        <w:tc>
          <w:tcPr>
            <w:tcW w:w="2702" w:type="dxa"/>
          </w:tcPr>
          <w:p w:rsidR="00267E15" w:rsidRPr="00EB6872" w:rsidRDefault="00267E15" w:rsidP="00334216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267E15" w:rsidRPr="00A87315" w:rsidRDefault="00267E15" w:rsidP="00267E15">
      <w:pPr>
        <w:pStyle w:val="a3"/>
        <w:jc w:val="both"/>
        <w:rPr>
          <w:sz w:val="16"/>
          <w:szCs w:val="16"/>
        </w:rPr>
      </w:pPr>
    </w:p>
    <w:p w:rsidR="00267E15" w:rsidRPr="00496AB5" w:rsidRDefault="00267E15" w:rsidP="00267E15">
      <w:pPr>
        <w:pStyle w:val="a3"/>
        <w:ind w:left="0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*Сумма заложена на установку </w:t>
      </w:r>
      <w:r w:rsidRPr="00496AB5"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267E15" w:rsidRPr="00D2380C" w:rsidRDefault="00267E15" w:rsidP="00267E15">
      <w:pPr>
        <w:rPr>
          <w:szCs w:val="28"/>
        </w:rPr>
      </w:pPr>
      <w:r w:rsidRPr="00496AB5">
        <w:rPr>
          <w:sz w:val="16"/>
          <w:szCs w:val="16"/>
        </w:rPr>
        <w:t xml:space="preserve">**Сумма заложена на установку </w:t>
      </w:r>
      <w:r w:rsidRPr="00496AB5">
        <w:rPr>
          <w:rFonts w:cs="Tahoma"/>
          <w:sz w:val="16"/>
          <w:szCs w:val="16"/>
        </w:rPr>
        <w:t>светофорных объектов, приобретенных в 2014 году</w:t>
      </w:r>
      <w:r>
        <w:rPr>
          <w:rFonts w:cs="Tahoma"/>
          <w:sz w:val="16"/>
          <w:szCs w:val="16"/>
        </w:rPr>
        <w:t>»</w:t>
      </w:r>
    </w:p>
    <w:p w:rsidR="005A36B7" w:rsidRDefault="00C55133"/>
    <w:sectPr w:rsidR="005A36B7" w:rsidSect="00267E1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E8"/>
    <w:multiLevelType w:val="multilevel"/>
    <w:tmpl w:val="82CAFE86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A7B3557"/>
    <w:multiLevelType w:val="multilevel"/>
    <w:tmpl w:val="4B28A9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384271C7"/>
    <w:multiLevelType w:val="multilevel"/>
    <w:tmpl w:val="6FFCB47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56506BB"/>
    <w:multiLevelType w:val="multilevel"/>
    <w:tmpl w:val="4C8047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7E15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7E15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2748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D5300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5513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1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7E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E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267E15"/>
    <w:pPr>
      <w:ind w:left="720"/>
      <w:contextualSpacing/>
    </w:pPr>
  </w:style>
  <w:style w:type="character" w:customStyle="1" w:styleId="a4">
    <w:name w:val="Цветовое выделение"/>
    <w:uiPriority w:val="99"/>
    <w:rsid w:val="00267E15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267E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_"/>
    <w:basedOn w:val="a0"/>
    <w:link w:val="3"/>
    <w:uiPriority w:val="99"/>
    <w:locked/>
    <w:rsid w:val="00267E15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267E15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1488</Words>
  <Characters>8488</Characters>
  <Application>Microsoft Office Word</Application>
  <DocSecurity>0</DocSecurity>
  <Lines>70</Lines>
  <Paragraphs>19</Paragraphs>
  <ScaleCrop>false</ScaleCrop>
  <Company>Microsoft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2018-12-27T07:20:00Z</dcterms:created>
  <dcterms:modified xsi:type="dcterms:W3CDTF">2018-12-28T05:55:00Z</dcterms:modified>
</cp:coreProperties>
</file>