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6"/>
        <w:gridCol w:w="1444"/>
        <w:gridCol w:w="1443"/>
        <w:gridCol w:w="1443"/>
        <w:gridCol w:w="1443"/>
        <w:gridCol w:w="1443"/>
        <w:gridCol w:w="1443"/>
        <w:gridCol w:w="1443"/>
        <w:gridCol w:w="1443"/>
        <w:gridCol w:w="1443"/>
      </w:tblGrid>
      <w:tr w:rsidR="007B5E1C" w:rsidRPr="007B5E1C" w:rsidTr="007B5E1C">
        <w:trPr>
          <w:trHeight w:val="375"/>
        </w:trPr>
        <w:tc>
          <w:tcPr>
            <w:tcW w:w="358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6060" w:type="dxa"/>
            <w:gridSpan w:val="3"/>
            <w:noWrap/>
            <w:hideMark/>
          </w:tcPr>
          <w:p w:rsidR="007B5E1C" w:rsidRPr="007B5E1C" w:rsidRDefault="007B5E1C" w:rsidP="007B5E1C">
            <w:r w:rsidRPr="007B5E1C">
              <w:t>Приложение 1</w:t>
            </w:r>
          </w:p>
        </w:tc>
      </w:tr>
      <w:tr w:rsidR="007B5E1C" w:rsidRPr="007B5E1C" w:rsidTr="007B5E1C">
        <w:trPr>
          <w:trHeight w:val="1598"/>
        </w:trPr>
        <w:tc>
          <w:tcPr>
            <w:tcW w:w="358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6060" w:type="dxa"/>
            <w:gridSpan w:val="3"/>
            <w:hideMark/>
          </w:tcPr>
          <w:p w:rsidR="007B5E1C" w:rsidRPr="007B5E1C" w:rsidRDefault="007B5E1C" w:rsidP="007B5E1C">
            <w:r w:rsidRPr="007B5E1C">
              <w:t xml:space="preserve">к постановлению администрации городского округа Кинель Самарской области </w:t>
            </w:r>
            <w:proofErr w:type="gramStart"/>
            <w:r w:rsidRPr="007B5E1C">
              <w:t>от</w:t>
            </w:r>
            <w:proofErr w:type="gramEnd"/>
            <w:r w:rsidRPr="007B5E1C">
              <w:t xml:space="preserve"> ________________№____</w:t>
            </w:r>
          </w:p>
        </w:tc>
      </w:tr>
      <w:tr w:rsidR="007B5E1C" w:rsidRPr="007B5E1C" w:rsidTr="007B5E1C">
        <w:trPr>
          <w:trHeight w:val="2100"/>
        </w:trPr>
        <w:tc>
          <w:tcPr>
            <w:tcW w:w="3580" w:type="dxa"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6060" w:type="dxa"/>
            <w:gridSpan w:val="3"/>
            <w:hideMark/>
          </w:tcPr>
          <w:p w:rsidR="007B5E1C" w:rsidRPr="007B5E1C" w:rsidRDefault="007B5E1C" w:rsidP="007B5E1C">
            <w:r w:rsidRPr="007B5E1C">
              <w:t>"ПРИЛОЖЕНИЕ 1                                                                    к  Бюджетному прогнозу городского округа Кинель Самарской области на долгосрочный                      период до 2025 года</w:t>
            </w:r>
          </w:p>
        </w:tc>
      </w:tr>
      <w:tr w:rsidR="007B5E1C" w:rsidRPr="007B5E1C" w:rsidTr="007B5E1C">
        <w:trPr>
          <w:trHeight w:val="630"/>
        </w:trPr>
        <w:tc>
          <w:tcPr>
            <w:tcW w:w="21760" w:type="dxa"/>
            <w:gridSpan w:val="10"/>
            <w:hideMark/>
          </w:tcPr>
          <w:p w:rsidR="007B5E1C" w:rsidRPr="007B5E1C" w:rsidRDefault="007B5E1C" w:rsidP="007B5E1C">
            <w:pPr>
              <w:rPr>
                <w:b/>
                <w:bCs/>
              </w:rPr>
            </w:pPr>
            <w:r w:rsidRPr="007B5E1C">
              <w:rPr>
                <w:b/>
                <w:bCs/>
              </w:rPr>
              <w:t xml:space="preserve">   Бюджетный прогноз городского округа Кинель Самарской области на 2017-2025 годы.</w:t>
            </w:r>
          </w:p>
        </w:tc>
      </w:tr>
      <w:tr w:rsidR="007B5E1C" w:rsidRPr="007B5E1C" w:rsidTr="007B5E1C">
        <w:trPr>
          <w:trHeight w:val="585"/>
        </w:trPr>
        <w:tc>
          <w:tcPr>
            <w:tcW w:w="21760" w:type="dxa"/>
            <w:gridSpan w:val="10"/>
            <w:noWrap/>
            <w:hideMark/>
          </w:tcPr>
          <w:p w:rsidR="007B5E1C" w:rsidRPr="007B5E1C" w:rsidRDefault="007B5E1C" w:rsidP="007B5E1C">
            <w:r w:rsidRPr="007B5E1C">
              <w:t>Основные характеристики бюджета городского округа Кинель Самарской области на 2017-2025 годы.</w:t>
            </w:r>
          </w:p>
        </w:tc>
      </w:tr>
      <w:tr w:rsidR="007B5E1C" w:rsidRPr="007B5E1C" w:rsidTr="007B5E1C">
        <w:trPr>
          <w:trHeight w:val="375"/>
        </w:trPr>
        <w:tc>
          <w:tcPr>
            <w:tcW w:w="358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</w:tr>
      <w:tr w:rsidR="007B5E1C" w:rsidRPr="007B5E1C" w:rsidTr="007B5E1C">
        <w:trPr>
          <w:trHeight w:val="375"/>
        </w:trPr>
        <w:tc>
          <w:tcPr>
            <w:tcW w:w="3580" w:type="dxa"/>
            <w:vMerge w:val="restart"/>
            <w:hideMark/>
          </w:tcPr>
          <w:p w:rsidR="007B5E1C" w:rsidRPr="007B5E1C" w:rsidRDefault="007B5E1C">
            <w:r w:rsidRPr="007B5E1C">
              <w:t> 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2017 год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2018 год*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2019 год *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2020 год*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2021 год*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2022 год*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2023 год*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2024год*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2025 год*</w:t>
            </w:r>
          </w:p>
        </w:tc>
      </w:tr>
      <w:tr w:rsidR="007B5E1C" w:rsidRPr="007B5E1C" w:rsidTr="007B5E1C">
        <w:trPr>
          <w:trHeight w:val="795"/>
        </w:trPr>
        <w:tc>
          <w:tcPr>
            <w:tcW w:w="3580" w:type="dxa"/>
            <w:vMerge/>
            <w:hideMark/>
          </w:tcPr>
          <w:p w:rsidR="007B5E1C" w:rsidRPr="007B5E1C" w:rsidRDefault="007B5E1C"/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(решение о бюджете)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(решение о бюджете)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(решение о бюджете)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(решение о бюджете)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(решение о бюджете)</w:t>
            </w:r>
          </w:p>
        </w:tc>
        <w:tc>
          <w:tcPr>
            <w:tcW w:w="2020" w:type="dxa"/>
            <w:noWrap/>
            <w:hideMark/>
          </w:tcPr>
          <w:p w:rsidR="007B5E1C" w:rsidRPr="007B5E1C" w:rsidRDefault="007B5E1C" w:rsidP="007B5E1C">
            <w:r w:rsidRPr="007B5E1C">
              <w:t>(прогноз)</w:t>
            </w:r>
          </w:p>
        </w:tc>
        <w:tc>
          <w:tcPr>
            <w:tcW w:w="2020" w:type="dxa"/>
            <w:noWrap/>
            <w:hideMark/>
          </w:tcPr>
          <w:p w:rsidR="007B5E1C" w:rsidRPr="007B5E1C" w:rsidRDefault="007B5E1C" w:rsidP="007B5E1C">
            <w:r w:rsidRPr="007B5E1C">
              <w:t>(прогноз)</w:t>
            </w:r>
          </w:p>
        </w:tc>
        <w:tc>
          <w:tcPr>
            <w:tcW w:w="2020" w:type="dxa"/>
            <w:noWrap/>
            <w:hideMark/>
          </w:tcPr>
          <w:p w:rsidR="007B5E1C" w:rsidRPr="007B5E1C" w:rsidRDefault="007B5E1C" w:rsidP="007B5E1C">
            <w:r w:rsidRPr="007B5E1C">
              <w:t>(прогноз)</w:t>
            </w:r>
          </w:p>
        </w:tc>
        <w:tc>
          <w:tcPr>
            <w:tcW w:w="2020" w:type="dxa"/>
            <w:noWrap/>
            <w:hideMark/>
          </w:tcPr>
          <w:p w:rsidR="007B5E1C" w:rsidRPr="007B5E1C" w:rsidRDefault="007B5E1C" w:rsidP="007B5E1C">
            <w:r w:rsidRPr="007B5E1C">
              <w:t>(прогноз)</w:t>
            </w:r>
          </w:p>
        </w:tc>
      </w:tr>
      <w:tr w:rsidR="007B5E1C" w:rsidRPr="007B5E1C" w:rsidTr="007B5E1C">
        <w:trPr>
          <w:trHeight w:val="375"/>
        </w:trPr>
        <w:tc>
          <w:tcPr>
            <w:tcW w:w="3580" w:type="dxa"/>
            <w:noWrap/>
            <w:hideMark/>
          </w:tcPr>
          <w:p w:rsidR="007B5E1C" w:rsidRPr="007B5E1C" w:rsidRDefault="007B5E1C" w:rsidP="007B5E1C">
            <w:r w:rsidRPr="007B5E1C">
              <w:t>1</w:t>
            </w:r>
          </w:p>
        </w:tc>
        <w:tc>
          <w:tcPr>
            <w:tcW w:w="2020" w:type="dxa"/>
            <w:noWrap/>
            <w:hideMark/>
          </w:tcPr>
          <w:p w:rsidR="007B5E1C" w:rsidRPr="007B5E1C" w:rsidRDefault="007B5E1C" w:rsidP="007B5E1C">
            <w:r w:rsidRPr="007B5E1C">
              <w:t>2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3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5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6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7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5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6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7</w:t>
            </w:r>
          </w:p>
        </w:tc>
      </w:tr>
      <w:tr w:rsidR="007B5E1C" w:rsidRPr="007B5E1C" w:rsidTr="007B5E1C">
        <w:trPr>
          <w:trHeight w:val="375"/>
        </w:trPr>
        <w:tc>
          <w:tcPr>
            <w:tcW w:w="3580" w:type="dxa"/>
            <w:hideMark/>
          </w:tcPr>
          <w:p w:rsidR="007B5E1C" w:rsidRPr="007B5E1C" w:rsidRDefault="007B5E1C">
            <w:r w:rsidRPr="007B5E1C">
              <w:t>ДОХОДЫ, в том числе: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489 849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473 311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553 778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673 252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701 494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671 477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685 066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706 260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477 773</w:t>
            </w:r>
          </w:p>
        </w:tc>
      </w:tr>
      <w:tr w:rsidR="007B5E1C" w:rsidRPr="007B5E1C" w:rsidTr="007B5E1C">
        <w:trPr>
          <w:trHeight w:val="375"/>
        </w:trPr>
        <w:tc>
          <w:tcPr>
            <w:tcW w:w="3580" w:type="dxa"/>
            <w:hideMark/>
          </w:tcPr>
          <w:p w:rsidR="007B5E1C" w:rsidRPr="007B5E1C" w:rsidRDefault="007B5E1C">
            <w:r w:rsidRPr="007B5E1C">
              <w:t>Налоговые и неналоговые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407 175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401 295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437 079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448 206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467 092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467 576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475 546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496 717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477 773</w:t>
            </w:r>
          </w:p>
        </w:tc>
      </w:tr>
      <w:tr w:rsidR="007B5E1C" w:rsidRPr="007B5E1C" w:rsidTr="007B5E1C">
        <w:trPr>
          <w:trHeight w:val="750"/>
        </w:trPr>
        <w:tc>
          <w:tcPr>
            <w:tcW w:w="3580" w:type="dxa"/>
            <w:hideMark/>
          </w:tcPr>
          <w:p w:rsidR="007B5E1C" w:rsidRPr="007B5E1C" w:rsidRDefault="007B5E1C">
            <w:r w:rsidRPr="007B5E1C">
              <w:t>Безвозмездные перечисления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82 674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72 016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116 699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225 046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234 402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203 901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209 520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209 543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375"/>
        </w:trPr>
        <w:tc>
          <w:tcPr>
            <w:tcW w:w="3580" w:type="dxa"/>
            <w:hideMark/>
          </w:tcPr>
          <w:p w:rsidR="007B5E1C" w:rsidRPr="007B5E1C" w:rsidRDefault="007B5E1C">
            <w:r w:rsidRPr="007B5E1C">
              <w:lastRenderedPageBreak/>
              <w:t>Дефици</w:t>
            </w:r>
            <w:proofErr w:type="gramStart"/>
            <w:r w:rsidRPr="007B5E1C">
              <w:t>т(</w:t>
            </w:r>
            <w:proofErr w:type="gramEnd"/>
            <w:r w:rsidRPr="007B5E1C">
              <w:t>-)/профицит (+)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-36 540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-35 000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643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1 412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-59 879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21 000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18 000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15 250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0</w:t>
            </w:r>
          </w:p>
        </w:tc>
      </w:tr>
      <w:tr w:rsidR="007B5E1C" w:rsidRPr="007B5E1C" w:rsidTr="007B5E1C">
        <w:trPr>
          <w:trHeight w:val="1125"/>
        </w:trPr>
        <w:tc>
          <w:tcPr>
            <w:tcW w:w="3580" w:type="dxa"/>
            <w:hideMark/>
          </w:tcPr>
          <w:p w:rsidR="007B5E1C" w:rsidRPr="007B5E1C" w:rsidRDefault="007B5E1C">
            <w:r w:rsidRPr="007B5E1C">
              <w:t>ИСТОЧНИКИ ФИНАНСИРОВАНИЯ БЮДЖЕТА, в том числе: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36 540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35 000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-643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-1 412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86 242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-21 000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-18 000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-15 250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0</w:t>
            </w:r>
          </w:p>
        </w:tc>
      </w:tr>
      <w:tr w:rsidR="007B5E1C" w:rsidRPr="007B5E1C" w:rsidTr="007B5E1C">
        <w:trPr>
          <w:trHeight w:val="570"/>
        </w:trPr>
        <w:tc>
          <w:tcPr>
            <w:tcW w:w="3580" w:type="dxa"/>
            <w:hideMark/>
          </w:tcPr>
          <w:p w:rsidR="007B5E1C" w:rsidRPr="007B5E1C" w:rsidRDefault="007B5E1C">
            <w:r w:rsidRPr="007B5E1C">
              <w:t>заимствования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49 822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57 000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28 000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35 000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68 250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14 000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375"/>
        </w:trPr>
        <w:tc>
          <w:tcPr>
            <w:tcW w:w="3580" w:type="dxa"/>
            <w:hideMark/>
          </w:tcPr>
          <w:p w:rsidR="007B5E1C" w:rsidRPr="007B5E1C" w:rsidRDefault="007B5E1C">
            <w:r w:rsidRPr="007B5E1C">
              <w:t>погашение заимствований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-20 428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-22 000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-29 054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-39 140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-35 000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-21 000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-32 000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-15 250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375"/>
        </w:trPr>
        <w:tc>
          <w:tcPr>
            <w:tcW w:w="3580" w:type="dxa"/>
            <w:hideMark/>
          </w:tcPr>
          <w:p w:rsidR="007B5E1C" w:rsidRPr="007B5E1C" w:rsidRDefault="007B5E1C">
            <w:r w:rsidRPr="007B5E1C">
              <w:t>прочие источники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7 146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411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2 728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52 992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750"/>
        </w:trPr>
        <w:tc>
          <w:tcPr>
            <w:tcW w:w="3580" w:type="dxa"/>
            <w:hideMark/>
          </w:tcPr>
          <w:p w:rsidR="007B5E1C" w:rsidRPr="007B5E1C" w:rsidRDefault="007B5E1C">
            <w:r w:rsidRPr="007B5E1C">
              <w:t>Объем муниципального долга на конец года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59 194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72 194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39 140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35 000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68 250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47 250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29 250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14 000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750"/>
        </w:trPr>
        <w:tc>
          <w:tcPr>
            <w:tcW w:w="3580" w:type="dxa"/>
            <w:hideMark/>
          </w:tcPr>
          <w:p w:rsidR="007B5E1C" w:rsidRPr="007B5E1C" w:rsidRDefault="007B5E1C">
            <w:r w:rsidRPr="007B5E1C">
              <w:t>Уровень долговой нагрузки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14,5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18%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9%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12,8%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15,4%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10,2%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6,2%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2,8%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375"/>
        </w:trPr>
        <w:tc>
          <w:tcPr>
            <w:tcW w:w="3580" w:type="dxa"/>
            <w:hideMark/>
          </w:tcPr>
          <w:p w:rsidR="007B5E1C" w:rsidRPr="007B5E1C" w:rsidRDefault="007B5E1C">
            <w:r w:rsidRPr="007B5E1C">
              <w:t>РАСХОДЫ, из них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526 389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508 311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553 135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671 840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761 373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650 477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667 066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691 010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477 773</w:t>
            </w:r>
          </w:p>
        </w:tc>
      </w:tr>
      <w:tr w:rsidR="007B5E1C" w:rsidRPr="007B5E1C" w:rsidTr="007B5E1C">
        <w:trPr>
          <w:trHeight w:val="750"/>
        </w:trPr>
        <w:tc>
          <w:tcPr>
            <w:tcW w:w="3580" w:type="dxa"/>
            <w:hideMark/>
          </w:tcPr>
          <w:p w:rsidR="007B5E1C" w:rsidRPr="007B5E1C" w:rsidRDefault="007B5E1C">
            <w:r w:rsidRPr="007B5E1C">
              <w:t>в рамках муниципальных программ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423 984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376 431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441 817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531 828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621 325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502 619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252 766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235 077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80 460</w:t>
            </w:r>
          </w:p>
        </w:tc>
      </w:tr>
      <w:tr w:rsidR="007B5E1C" w:rsidRPr="007B5E1C" w:rsidTr="007B5E1C">
        <w:trPr>
          <w:trHeight w:val="750"/>
        </w:trPr>
        <w:tc>
          <w:tcPr>
            <w:tcW w:w="3580" w:type="dxa"/>
            <w:hideMark/>
          </w:tcPr>
          <w:p w:rsidR="007B5E1C" w:rsidRPr="007B5E1C" w:rsidRDefault="007B5E1C">
            <w:r w:rsidRPr="007B5E1C">
              <w:t>непрограммные направления расходов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102 405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131 880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111 318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140 012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140 048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147 858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394 580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418 147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397 313</w:t>
            </w:r>
          </w:p>
        </w:tc>
      </w:tr>
      <w:tr w:rsidR="007B5E1C" w:rsidRPr="007B5E1C" w:rsidTr="007B5E1C">
        <w:trPr>
          <w:trHeight w:val="750"/>
        </w:trPr>
        <w:tc>
          <w:tcPr>
            <w:tcW w:w="3580" w:type="dxa"/>
            <w:hideMark/>
          </w:tcPr>
          <w:p w:rsidR="007B5E1C" w:rsidRPr="007B5E1C" w:rsidRDefault="007B5E1C">
            <w:r w:rsidRPr="007B5E1C">
              <w:t>Условно-утвержденные расходы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19 720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37 786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750"/>
        </w:trPr>
        <w:tc>
          <w:tcPr>
            <w:tcW w:w="3580" w:type="dxa"/>
            <w:hideMark/>
          </w:tcPr>
          <w:p w:rsidR="007B5E1C" w:rsidRPr="007B5E1C" w:rsidRDefault="007B5E1C">
            <w:r w:rsidRPr="007B5E1C">
              <w:t>Доля программных расходов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81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74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80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79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82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77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38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34</w:t>
            </w:r>
          </w:p>
        </w:tc>
        <w:tc>
          <w:tcPr>
            <w:tcW w:w="2020" w:type="dxa"/>
            <w:hideMark/>
          </w:tcPr>
          <w:p w:rsidR="007B5E1C" w:rsidRPr="007B5E1C" w:rsidRDefault="007B5E1C" w:rsidP="007B5E1C">
            <w:r w:rsidRPr="007B5E1C">
              <w:t>17</w:t>
            </w:r>
          </w:p>
        </w:tc>
      </w:tr>
      <w:tr w:rsidR="007B5E1C" w:rsidRPr="007B5E1C" w:rsidTr="007B5E1C">
        <w:trPr>
          <w:trHeight w:val="300"/>
        </w:trPr>
        <w:tc>
          <w:tcPr>
            <w:tcW w:w="358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</w:tr>
      <w:tr w:rsidR="007B5E1C" w:rsidRPr="007B5E1C" w:rsidTr="007B5E1C">
        <w:trPr>
          <w:trHeight w:val="375"/>
        </w:trPr>
        <w:tc>
          <w:tcPr>
            <w:tcW w:w="9640" w:type="dxa"/>
            <w:gridSpan w:val="4"/>
            <w:noWrap/>
            <w:hideMark/>
          </w:tcPr>
          <w:p w:rsidR="007B5E1C" w:rsidRPr="007B5E1C" w:rsidRDefault="007B5E1C">
            <w:r w:rsidRPr="007B5E1C">
              <w:t>* За счет средств бюджета городского округа Кинель без учета целевых МБТ</w:t>
            </w:r>
          </w:p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  <w:tc>
          <w:tcPr>
            <w:tcW w:w="2020" w:type="dxa"/>
            <w:noWrap/>
            <w:hideMark/>
          </w:tcPr>
          <w:p w:rsidR="007B5E1C" w:rsidRPr="007B5E1C" w:rsidRDefault="007B5E1C"/>
        </w:tc>
      </w:tr>
    </w:tbl>
    <w:p w:rsidR="00E13BC1" w:rsidRDefault="00E13BC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1"/>
        <w:gridCol w:w="980"/>
        <w:gridCol w:w="980"/>
        <w:gridCol w:w="1080"/>
        <w:gridCol w:w="1129"/>
        <w:gridCol w:w="1212"/>
        <w:gridCol w:w="1113"/>
        <w:gridCol w:w="1113"/>
        <w:gridCol w:w="1113"/>
        <w:gridCol w:w="1113"/>
      </w:tblGrid>
      <w:tr w:rsidR="007B5E1C" w:rsidRPr="007B5E1C" w:rsidTr="007B5E1C">
        <w:trPr>
          <w:trHeight w:val="443"/>
        </w:trPr>
        <w:tc>
          <w:tcPr>
            <w:tcW w:w="6800" w:type="dxa"/>
            <w:noWrap/>
            <w:hideMark/>
          </w:tcPr>
          <w:p w:rsidR="007B5E1C" w:rsidRPr="007B5E1C" w:rsidRDefault="007B5E1C"/>
        </w:tc>
        <w:tc>
          <w:tcPr>
            <w:tcW w:w="1140" w:type="dxa"/>
            <w:noWrap/>
            <w:hideMark/>
          </w:tcPr>
          <w:p w:rsidR="007B5E1C" w:rsidRPr="007B5E1C" w:rsidRDefault="007B5E1C"/>
        </w:tc>
        <w:tc>
          <w:tcPr>
            <w:tcW w:w="1140" w:type="dxa"/>
            <w:noWrap/>
            <w:hideMark/>
          </w:tcPr>
          <w:p w:rsidR="007B5E1C" w:rsidRPr="007B5E1C" w:rsidRDefault="007B5E1C"/>
        </w:tc>
        <w:tc>
          <w:tcPr>
            <w:tcW w:w="1260" w:type="dxa"/>
            <w:noWrap/>
            <w:hideMark/>
          </w:tcPr>
          <w:p w:rsidR="007B5E1C" w:rsidRPr="007B5E1C" w:rsidRDefault="007B5E1C"/>
        </w:tc>
        <w:tc>
          <w:tcPr>
            <w:tcW w:w="1320" w:type="dxa"/>
            <w:noWrap/>
            <w:hideMark/>
          </w:tcPr>
          <w:p w:rsidR="007B5E1C" w:rsidRPr="007B5E1C" w:rsidRDefault="007B5E1C"/>
        </w:tc>
        <w:tc>
          <w:tcPr>
            <w:tcW w:w="1420" w:type="dxa"/>
            <w:noWrap/>
            <w:hideMark/>
          </w:tcPr>
          <w:p w:rsidR="007B5E1C" w:rsidRPr="007B5E1C" w:rsidRDefault="007B5E1C"/>
        </w:tc>
        <w:tc>
          <w:tcPr>
            <w:tcW w:w="5200" w:type="dxa"/>
            <w:gridSpan w:val="4"/>
            <w:noWrap/>
            <w:hideMark/>
          </w:tcPr>
          <w:p w:rsidR="007B5E1C" w:rsidRPr="007B5E1C" w:rsidRDefault="007B5E1C" w:rsidP="007B5E1C">
            <w:r w:rsidRPr="007B5E1C">
              <w:t>Приложение 2</w:t>
            </w:r>
          </w:p>
        </w:tc>
      </w:tr>
      <w:tr w:rsidR="007B5E1C" w:rsidRPr="007B5E1C" w:rsidTr="007B5E1C">
        <w:trPr>
          <w:trHeight w:val="1478"/>
        </w:trPr>
        <w:tc>
          <w:tcPr>
            <w:tcW w:w="6800" w:type="dxa"/>
            <w:noWrap/>
            <w:hideMark/>
          </w:tcPr>
          <w:p w:rsidR="007B5E1C" w:rsidRPr="007B5E1C" w:rsidRDefault="007B5E1C"/>
        </w:tc>
        <w:tc>
          <w:tcPr>
            <w:tcW w:w="1140" w:type="dxa"/>
            <w:noWrap/>
            <w:hideMark/>
          </w:tcPr>
          <w:p w:rsidR="007B5E1C" w:rsidRPr="007B5E1C" w:rsidRDefault="007B5E1C"/>
        </w:tc>
        <w:tc>
          <w:tcPr>
            <w:tcW w:w="1140" w:type="dxa"/>
            <w:noWrap/>
            <w:hideMark/>
          </w:tcPr>
          <w:p w:rsidR="007B5E1C" w:rsidRPr="007B5E1C" w:rsidRDefault="007B5E1C"/>
        </w:tc>
        <w:tc>
          <w:tcPr>
            <w:tcW w:w="1260" w:type="dxa"/>
            <w:noWrap/>
            <w:hideMark/>
          </w:tcPr>
          <w:p w:rsidR="007B5E1C" w:rsidRPr="007B5E1C" w:rsidRDefault="007B5E1C"/>
        </w:tc>
        <w:tc>
          <w:tcPr>
            <w:tcW w:w="1320" w:type="dxa"/>
            <w:noWrap/>
            <w:hideMark/>
          </w:tcPr>
          <w:p w:rsidR="007B5E1C" w:rsidRPr="007B5E1C" w:rsidRDefault="007B5E1C"/>
        </w:tc>
        <w:tc>
          <w:tcPr>
            <w:tcW w:w="1420" w:type="dxa"/>
            <w:noWrap/>
            <w:hideMark/>
          </w:tcPr>
          <w:p w:rsidR="007B5E1C" w:rsidRPr="007B5E1C" w:rsidRDefault="007B5E1C"/>
        </w:tc>
        <w:tc>
          <w:tcPr>
            <w:tcW w:w="5200" w:type="dxa"/>
            <w:gridSpan w:val="4"/>
            <w:hideMark/>
          </w:tcPr>
          <w:p w:rsidR="007B5E1C" w:rsidRPr="007B5E1C" w:rsidRDefault="007B5E1C" w:rsidP="007B5E1C">
            <w:r w:rsidRPr="007B5E1C">
              <w:t xml:space="preserve">к постановлению администрации городского округа Кинель Самарской области </w:t>
            </w:r>
            <w:proofErr w:type="gramStart"/>
            <w:r w:rsidRPr="007B5E1C">
              <w:t>от</w:t>
            </w:r>
            <w:proofErr w:type="gramEnd"/>
            <w:r w:rsidRPr="007B5E1C">
              <w:t xml:space="preserve"> ________________№____</w:t>
            </w:r>
          </w:p>
        </w:tc>
      </w:tr>
      <w:tr w:rsidR="007B5E1C" w:rsidRPr="007B5E1C" w:rsidTr="007B5E1C">
        <w:trPr>
          <w:trHeight w:val="1155"/>
        </w:trPr>
        <w:tc>
          <w:tcPr>
            <w:tcW w:w="6800" w:type="dxa"/>
            <w:noWrap/>
            <w:hideMark/>
          </w:tcPr>
          <w:p w:rsidR="007B5E1C" w:rsidRPr="007B5E1C" w:rsidRDefault="007B5E1C" w:rsidP="007B5E1C"/>
        </w:tc>
        <w:tc>
          <w:tcPr>
            <w:tcW w:w="1140" w:type="dxa"/>
            <w:noWrap/>
            <w:hideMark/>
          </w:tcPr>
          <w:p w:rsidR="007B5E1C" w:rsidRPr="007B5E1C" w:rsidRDefault="007B5E1C" w:rsidP="007B5E1C"/>
        </w:tc>
        <w:tc>
          <w:tcPr>
            <w:tcW w:w="1140" w:type="dxa"/>
            <w:noWrap/>
            <w:hideMark/>
          </w:tcPr>
          <w:p w:rsidR="007B5E1C" w:rsidRPr="007B5E1C" w:rsidRDefault="007B5E1C" w:rsidP="007B5E1C"/>
        </w:tc>
        <w:tc>
          <w:tcPr>
            <w:tcW w:w="1260" w:type="dxa"/>
            <w:noWrap/>
            <w:hideMark/>
          </w:tcPr>
          <w:p w:rsidR="007B5E1C" w:rsidRPr="007B5E1C" w:rsidRDefault="007B5E1C" w:rsidP="007B5E1C"/>
        </w:tc>
        <w:tc>
          <w:tcPr>
            <w:tcW w:w="1320" w:type="dxa"/>
            <w:noWrap/>
            <w:hideMark/>
          </w:tcPr>
          <w:p w:rsidR="007B5E1C" w:rsidRPr="007B5E1C" w:rsidRDefault="007B5E1C" w:rsidP="007B5E1C"/>
        </w:tc>
        <w:tc>
          <w:tcPr>
            <w:tcW w:w="1420" w:type="dxa"/>
            <w:noWrap/>
            <w:hideMark/>
          </w:tcPr>
          <w:p w:rsidR="007B5E1C" w:rsidRPr="007B5E1C" w:rsidRDefault="007B5E1C" w:rsidP="007B5E1C"/>
        </w:tc>
        <w:tc>
          <w:tcPr>
            <w:tcW w:w="5200" w:type="dxa"/>
            <w:gridSpan w:val="4"/>
            <w:vMerge w:val="restart"/>
            <w:hideMark/>
          </w:tcPr>
          <w:p w:rsidR="007B5E1C" w:rsidRPr="007B5E1C" w:rsidRDefault="007B5E1C" w:rsidP="007B5E1C">
            <w:r w:rsidRPr="007B5E1C">
              <w:t>"ПРИЛОЖЕНИЕ 2                                                           к Бюджетному прогнозу городского округа Кинель Самарской области на долгосрочный период до 2025 года</w:t>
            </w:r>
          </w:p>
        </w:tc>
      </w:tr>
      <w:tr w:rsidR="007B5E1C" w:rsidRPr="007B5E1C" w:rsidTr="007B5E1C">
        <w:trPr>
          <w:trHeight w:val="600"/>
        </w:trPr>
        <w:tc>
          <w:tcPr>
            <w:tcW w:w="6800" w:type="dxa"/>
            <w:noWrap/>
            <w:hideMark/>
          </w:tcPr>
          <w:p w:rsidR="007B5E1C" w:rsidRPr="007B5E1C" w:rsidRDefault="007B5E1C" w:rsidP="007B5E1C"/>
        </w:tc>
        <w:tc>
          <w:tcPr>
            <w:tcW w:w="1140" w:type="dxa"/>
            <w:noWrap/>
            <w:hideMark/>
          </w:tcPr>
          <w:p w:rsidR="007B5E1C" w:rsidRPr="007B5E1C" w:rsidRDefault="007B5E1C" w:rsidP="007B5E1C"/>
        </w:tc>
        <w:tc>
          <w:tcPr>
            <w:tcW w:w="1140" w:type="dxa"/>
            <w:noWrap/>
            <w:hideMark/>
          </w:tcPr>
          <w:p w:rsidR="007B5E1C" w:rsidRPr="007B5E1C" w:rsidRDefault="007B5E1C" w:rsidP="007B5E1C"/>
        </w:tc>
        <w:tc>
          <w:tcPr>
            <w:tcW w:w="1260" w:type="dxa"/>
            <w:noWrap/>
            <w:hideMark/>
          </w:tcPr>
          <w:p w:rsidR="007B5E1C" w:rsidRPr="007B5E1C" w:rsidRDefault="007B5E1C" w:rsidP="007B5E1C"/>
        </w:tc>
        <w:tc>
          <w:tcPr>
            <w:tcW w:w="1320" w:type="dxa"/>
            <w:noWrap/>
            <w:hideMark/>
          </w:tcPr>
          <w:p w:rsidR="007B5E1C" w:rsidRPr="007B5E1C" w:rsidRDefault="007B5E1C" w:rsidP="007B5E1C"/>
        </w:tc>
        <w:tc>
          <w:tcPr>
            <w:tcW w:w="1420" w:type="dxa"/>
            <w:noWrap/>
            <w:hideMark/>
          </w:tcPr>
          <w:p w:rsidR="007B5E1C" w:rsidRPr="007B5E1C" w:rsidRDefault="007B5E1C" w:rsidP="007B5E1C"/>
        </w:tc>
        <w:tc>
          <w:tcPr>
            <w:tcW w:w="5200" w:type="dxa"/>
            <w:gridSpan w:val="4"/>
            <w:vMerge/>
            <w:hideMark/>
          </w:tcPr>
          <w:p w:rsidR="007B5E1C" w:rsidRPr="007B5E1C" w:rsidRDefault="007B5E1C"/>
        </w:tc>
      </w:tr>
      <w:tr w:rsidR="007B5E1C" w:rsidRPr="007B5E1C" w:rsidTr="007B5E1C">
        <w:trPr>
          <w:trHeight w:val="1695"/>
        </w:trPr>
        <w:tc>
          <w:tcPr>
            <w:tcW w:w="6800" w:type="dxa"/>
            <w:vMerge w:val="restart"/>
            <w:hideMark/>
          </w:tcPr>
          <w:p w:rsidR="007B5E1C" w:rsidRPr="007B5E1C" w:rsidRDefault="007B5E1C" w:rsidP="007B5E1C">
            <w:r w:rsidRPr="007B5E1C">
              <w:t>Наименование муниципальной программы городского округа Кинель Самарской области</w:t>
            </w:r>
          </w:p>
        </w:tc>
        <w:tc>
          <w:tcPr>
            <w:tcW w:w="11480" w:type="dxa"/>
            <w:gridSpan w:val="9"/>
            <w:hideMark/>
          </w:tcPr>
          <w:p w:rsidR="007B5E1C" w:rsidRPr="007B5E1C" w:rsidRDefault="007B5E1C" w:rsidP="007B5E1C">
            <w:r w:rsidRPr="007B5E1C">
              <w:t>Расходы бюджета городского округа Кинель Самарской области на финансовое обеспечение реализации муниципальных программ городского округа Кинель Самарской области *</w:t>
            </w:r>
          </w:p>
        </w:tc>
      </w:tr>
      <w:tr w:rsidR="007B5E1C" w:rsidRPr="007B5E1C" w:rsidTr="007B5E1C">
        <w:trPr>
          <w:trHeight w:val="2040"/>
        </w:trPr>
        <w:tc>
          <w:tcPr>
            <w:tcW w:w="6800" w:type="dxa"/>
            <w:vMerge/>
            <w:hideMark/>
          </w:tcPr>
          <w:p w:rsidR="007B5E1C" w:rsidRPr="007B5E1C" w:rsidRDefault="007B5E1C"/>
        </w:tc>
        <w:tc>
          <w:tcPr>
            <w:tcW w:w="1140" w:type="dxa"/>
            <w:hideMark/>
          </w:tcPr>
          <w:p w:rsidR="007B5E1C" w:rsidRPr="007B5E1C" w:rsidRDefault="007B5E1C" w:rsidP="007B5E1C">
            <w:r w:rsidRPr="007B5E1C">
              <w:t>2017 год</w:t>
            </w:r>
          </w:p>
        </w:tc>
        <w:tc>
          <w:tcPr>
            <w:tcW w:w="1140" w:type="dxa"/>
            <w:hideMark/>
          </w:tcPr>
          <w:p w:rsidR="007B5E1C" w:rsidRPr="007B5E1C" w:rsidRDefault="007B5E1C" w:rsidP="007B5E1C">
            <w:r w:rsidRPr="007B5E1C">
              <w:t>2018 год</w:t>
            </w:r>
          </w:p>
        </w:tc>
        <w:tc>
          <w:tcPr>
            <w:tcW w:w="1260" w:type="dxa"/>
            <w:hideMark/>
          </w:tcPr>
          <w:p w:rsidR="007B5E1C" w:rsidRPr="007B5E1C" w:rsidRDefault="007B5E1C" w:rsidP="007B5E1C">
            <w:r w:rsidRPr="007B5E1C">
              <w:t>2019 год</w:t>
            </w:r>
          </w:p>
        </w:tc>
        <w:tc>
          <w:tcPr>
            <w:tcW w:w="1320" w:type="dxa"/>
            <w:hideMark/>
          </w:tcPr>
          <w:p w:rsidR="007B5E1C" w:rsidRPr="007B5E1C" w:rsidRDefault="007B5E1C" w:rsidP="007B5E1C">
            <w:r w:rsidRPr="007B5E1C">
              <w:t xml:space="preserve">2020 год </w:t>
            </w:r>
          </w:p>
        </w:tc>
        <w:tc>
          <w:tcPr>
            <w:tcW w:w="1420" w:type="dxa"/>
            <w:hideMark/>
          </w:tcPr>
          <w:p w:rsidR="007B5E1C" w:rsidRPr="007B5E1C" w:rsidRDefault="007B5E1C" w:rsidP="007B5E1C">
            <w:r w:rsidRPr="007B5E1C">
              <w:t xml:space="preserve">2021 год </w:t>
            </w:r>
          </w:p>
        </w:tc>
        <w:tc>
          <w:tcPr>
            <w:tcW w:w="1300" w:type="dxa"/>
            <w:hideMark/>
          </w:tcPr>
          <w:p w:rsidR="007B5E1C" w:rsidRPr="007B5E1C" w:rsidRDefault="007B5E1C" w:rsidP="007B5E1C">
            <w:r w:rsidRPr="007B5E1C">
              <w:t>2022 год (прогноз)</w:t>
            </w:r>
          </w:p>
        </w:tc>
        <w:tc>
          <w:tcPr>
            <w:tcW w:w="1300" w:type="dxa"/>
            <w:hideMark/>
          </w:tcPr>
          <w:p w:rsidR="007B5E1C" w:rsidRPr="007B5E1C" w:rsidRDefault="007B5E1C" w:rsidP="007B5E1C">
            <w:r w:rsidRPr="007B5E1C">
              <w:t>2023 год (прогноз)</w:t>
            </w:r>
          </w:p>
        </w:tc>
        <w:tc>
          <w:tcPr>
            <w:tcW w:w="1300" w:type="dxa"/>
            <w:hideMark/>
          </w:tcPr>
          <w:p w:rsidR="007B5E1C" w:rsidRPr="007B5E1C" w:rsidRDefault="007B5E1C" w:rsidP="007B5E1C">
            <w:r w:rsidRPr="007B5E1C">
              <w:t>2024 год (прогноз)</w:t>
            </w:r>
          </w:p>
        </w:tc>
        <w:tc>
          <w:tcPr>
            <w:tcW w:w="1300" w:type="dxa"/>
            <w:hideMark/>
          </w:tcPr>
          <w:p w:rsidR="007B5E1C" w:rsidRPr="007B5E1C" w:rsidRDefault="007B5E1C" w:rsidP="007B5E1C">
            <w:r w:rsidRPr="007B5E1C">
              <w:t>2025 год (прогноз)</w:t>
            </w:r>
          </w:p>
        </w:tc>
      </w:tr>
      <w:tr w:rsidR="007B5E1C" w:rsidRPr="007B5E1C" w:rsidTr="007B5E1C">
        <w:trPr>
          <w:trHeight w:val="1478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по профилактике преступлений и правонарушений на территории городского округа Кинель Самарской области на 2014-2018 годы.</w:t>
            </w:r>
          </w:p>
        </w:tc>
        <w:tc>
          <w:tcPr>
            <w:tcW w:w="1140" w:type="dxa"/>
            <w:hideMark/>
          </w:tcPr>
          <w:p w:rsidR="007B5E1C" w:rsidRPr="007B5E1C" w:rsidRDefault="007B5E1C" w:rsidP="007B5E1C">
            <w:r w:rsidRPr="007B5E1C">
              <w:t>4460</w:t>
            </w:r>
          </w:p>
        </w:tc>
        <w:tc>
          <w:tcPr>
            <w:tcW w:w="1140" w:type="dxa"/>
            <w:hideMark/>
          </w:tcPr>
          <w:p w:rsidR="007B5E1C" w:rsidRPr="007B5E1C" w:rsidRDefault="007B5E1C" w:rsidP="007B5E1C">
            <w:r w:rsidRPr="007B5E1C">
              <w:t>3300</w:t>
            </w:r>
          </w:p>
        </w:tc>
        <w:tc>
          <w:tcPr>
            <w:tcW w:w="126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320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lastRenderedPageBreak/>
              <w:t>Муниципальная программа "Профилактика правонарушений на территории городского округа Кинель Самарской области на 2019-2023 годы"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4 041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3 400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3 120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3 300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3 380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118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городского округа Кинель Самарской области "Молодой семье – доступное жилье" на 2016-2020 годы.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6 000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5 937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6 121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163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городского округа Кинель Самарской области "Молодой семье – доступное жилье" на 2018-2024 годы.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6 202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6 362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6 389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6 389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6 389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545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 xml:space="preserve">Муниципальная  программа по улучшению </w:t>
            </w:r>
            <w:proofErr w:type="gramStart"/>
            <w:r w:rsidRPr="007B5E1C">
              <w:t>условий жизнедеятельности нуждающихся категорий граждан городского округа</w:t>
            </w:r>
            <w:proofErr w:type="gramEnd"/>
            <w:r w:rsidRPr="007B5E1C">
              <w:t xml:space="preserve"> Кинель Самарской области на 2015-2017 годы.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5 414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560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 программа городского округа Кинель Самарской области "Социальная поддержка отдельных категорий граждан в городском округе Кинель Самарской области на 2018-2022 годы"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9 927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8 920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9 496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7 861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8 350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463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 xml:space="preserve">Муниципальная программа городского округа Кинель Самарской области "Поддержка семей с детьми в городском округе Кинель Самарской области на 2016-2018 годы". 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4 990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152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lastRenderedPageBreak/>
              <w:t>Муниципальная программа городского округа Кинель Самарской области по повышению безопасности дорожного движения на 2014-2018 годы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45 964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19 268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909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городского округа Кинель Самарской области "Развитие и модернизация автомобильной транспортной инфраструктуры на территории городского округа Кинель Самарской области на 2019-2023 годы"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24 265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27 796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25 278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24 438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24 626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163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"Укрепление общественного здоровья населения городского округа Кинель Самарской области на 2021-2025 годы"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200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1 325</w:t>
            </w:r>
          </w:p>
        </w:tc>
      </w:tr>
      <w:tr w:rsidR="007B5E1C" w:rsidRPr="007B5E1C" w:rsidTr="007B5E1C">
        <w:trPr>
          <w:trHeight w:val="1163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"Развитие физической культуры и спорта в городском округе Кинель Самарской области на 2013-2017 годы".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23 432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092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"Развитие физической культуры и спорта в городском округе Кинель Самарской области на 2018-2022 годы".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15 612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18 627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20 460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20 757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20 133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872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"Устранение нарушений санитарно-эпидемиологического законодательства по предписаниям надзорных органов в образовательных организациях городского округа Кинель Самарской области на 2020-2025 годы"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5 600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5 582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2 000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3 000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3 000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6 000</w:t>
            </w:r>
          </w:p>
        </w:tc>
      </w:tr>
      <w:tr w:rsidR="007B5E1C" w:rsidRPr="007B5E1C" w:rsidTr="007B5E1C">
        <w:trPr>
          <w:trHeight w:val="1118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lastRenderedPageBreak/>
              <w:t>Муниципальная  программа "Развитие малого и среднего предпринимательства в городском округе Кинель Самарской области на 2016-2018 годы".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1 125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1 170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129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 программа "Развитие малого и среднего предпринимательства в городском округе Кинель Самарской области на 2019-2021 годы".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1 386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2 776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4 201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129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 программа "Развитие малого и среднего предпринимательства в городском округе Кинель Самарской области на 2022-2026 годы".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3 088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3 000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3 810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4 650</w:t>
            </w:r>
          </w:p>
        </w:tc>
      </w:tr>
      <w:tr w:rsidR="007B5E1C" w:rsidRPr="007B5E1C" w:rsidTr="007B5E1C">
        <w:trPr>
          <w:trHeight w:val="1872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"Управление муниципальным имуществом, земельными ресурсами и содержание имущества казны в муниципальном  образовании городской округ Кинель Самарской области на 2015-2017 годы"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37 059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812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"Управление муниципальным имуществом, земельными ресурсами и содержание имущества казны в муниципальном  образовании городской округ Кинель Самарской области на 2018-2022 годы"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40 605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63 264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92 947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93 297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90 609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129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 xml:space="preserve">Муниципальная  программа "Экологическая программа городского округа Кинель Самарской области на 2016-2025 годы".                                                                                                                 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4 187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1 080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1 145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1 160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568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680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730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730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272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lastRenderedPageBreak/>
              <w:t>Муниципальная программа "Создание условий для оказания медицинской помощи населению городского округа Кинель на 2016-2018 годы"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1 584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200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440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 xml:space="preserve">Муниципальная программа "Повышение </w:t>
            </w:r>
            <w:proofErr w:type="gramStart"/>
            <w:r w:rsidRPr="007B5E1C">
              <w:t>эффективности работы системы здравоохранения городского округа</w:t>
            </w:r>
            <w:proofErr w:type="gramEnd"/>
            <w:r w:rsidRPr="007B5E1C">
              <w:t xml:space="preserve"> Кинель Самарской области на 2019-2025 годы"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650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764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660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584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384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784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84</w:t>
            </w:r>
          </w:p>
        </w:tc>
      </w:tr>
      <w:tr w:rsidR="007B5E1C" w:rsidRPr="007B5E1C" w:rsidTr="007B5E1C">
        <w:trPr>
          <w:trHeight w:val="1395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 xml:space="preserve">Муниципальная  программа "Комплекс мероприятий по поддержке сферы образования на территории городского округа Кинель Самарской области на 2016 -2018 годы". 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250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50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860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по противодействию незаконному обороту наркотических средств, профилактике наркомании и реабилитации наркозависимых лиц в городском округе Кинель на 2013-2017 годы.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100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178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 xml:space="preserve">Муниципальная антинаркотическая программа городского округа Кинель Самарской области на 2018-2022 годы 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100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100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100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70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70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103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"Энергосбережение и повышение энергетической эффективности в городском округе Кинель на 2016-2020 годы".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580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2 248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1 550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1 690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140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lastRenderedPageBreak/>
              <w:t xml:space="preserve">Муниципальная программа "Развитие сети дошкольных образовательных учреждений в городском округе Кинель на 2016-2018 годы".  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5 416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1 662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230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"Инновационное развитие системы образования на территории городского округа Кинель Самарской области на 2019 - 2025 годы"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27 825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26 922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20 635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3 711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21 800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10 656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34 295</w:t>
            </w:r>
          </w:p>
        </w:tc>
      </w:tr>
      <w:tr w:rsidR="007B5E1C" w:rsidRPr="007B5E1C" w:rsidTr="007B5E1C">
        <w:trPr>
          <w:trHeight w:val="1080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"Реализация молодежной политики в городском округе Самарской области на 2013-2017 годы".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2 296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189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"Реализация молодежной политики на территории городского округа Кинель Самарской области на 2018-2022 годы".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2 830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2 898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3 876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5 262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5 283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500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 xml:space="preserve">Муниципальная  программа «Профилактика терроризма и экстремизма, минимизация последствий проявлений терроризма и экстремизма в границах городского округа на 2017-2019 годы". 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171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500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500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 xml:space="preserve">Муниципальная  программа «Профилактика терроризма и экстремизма, минимизация последствий проявлений терроризма и экстремизма в границах городского округа на 2020-2024 годы". 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713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381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700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485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 xml:space="preserve">Муниципальная программа "Развитие </w:t>
            </w:r>
            <w:proofErr w:type="spellStart"/>
            <w:r w:rsidRPr="007B5E1C">
              <w:t>инфомационного</w:t>
            </w:r>
            <w:proofErr w:type="spellEnd"/>
            <w:r w:rsidRPr="007B5E1C">
              <w:t xml:space="preserve"> общества в муниципальном образовании городской округ Кинель на 2012-2017 годы" 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12 150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152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lastRenderedPageBreak/>
              <w:t xml:space="preserve">Муниципальная программа "Развитие </w:t>
            </w:r>
            <w:proofErr w:type="spellStart"/>
            <w:r w:rsidRPr="007B5E1C">
              <w:t>инфомационного</w:t>
            </w:r>
            <w:proofErr w:type="spellEnd"/>
            <w:r w:rsidRPr="007B5E1C">
              <w:t xml:space="preserve"> общества в городском округе Кинель Самарской области на 2018-2022 годы" 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11 608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14 151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18 472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20 258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21 810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092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 xml:space="preserve">Муниципальная программа "Модернизация объектов коммунальной инфраструктуры городского округа Кинель на 2017-2024 годы". 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11 780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5 772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8 105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7 174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65 741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3 952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1 291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1 291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223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"Стимулирование развития жилищного строительства в городском округе Кинель на 2016-2025 годы"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1 987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3 000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1 200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1 594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11 310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1 300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4 753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2 120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14 000</w:t>
            </w:r>
          </w:p>
        </w:tc>
      </w:tr>
      <w:tr w:rsidR="007B5E1C" w:rsidRPr="007B5E1C" w:rsidTr="007B5E1C">
        <w:trPr>
          <w:trHeight w:val="1118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"Капитальный и текущий ремонт зданий общеобразовательных учреждений городского округа Кинель на 2016-2018 годы".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17 768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20 289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163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 xml:space="preserve">Муниципальная программа "Развитие муниципальной службы в городском округе Кинель Самарской области на 2016-2020 годы" 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303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413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1 406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467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163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 xml:space="preserve">Муниципальная программа "Развитие муниципальной службы в городском округе Кинель Самарской области на 2021-2025 годы" 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564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590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605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615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635</w:t>
            </w:r>
          </w:p>
        </w:tc>
      </w:tr>
      <w:tr w:rsidR="007B5E1C" w:rsidRPr="007B5E1C" w:rsidTr="007B5E1C">
        <w:trPr>
          <w:trHeight w:val="1512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 программа "Предупреждение чрезвычайных ситуаций и снижение масштабов последствий при их возникновении на территории городского округа Кинель на 2015-2017 годы".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281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440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lastRenderedPageBreak/>
              <w:t>Муниципальная  программа "Предупреждение чрезвычайных ситуаций и снижение масштабов их последствий на территории городского округа Кинель Самарской области на 2018-2022 годы".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610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770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880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498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527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080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 "Развитие культуры городского округа Кинель Самарской области на 2013-2017 годы".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72 379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140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 "Развитие культуры городского округа Кинель Самарской области на 2018-2022 годы".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73 984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86 325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117 500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121 724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119 681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523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 xml:space="preserve">Муниципальная  программа "Создание доступной среды жизнедеятельности лицам с ограниченными возможностями здоровья и их социальную интеграцию на 2016-2020 годы". 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677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302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2 725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1 115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523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 xml:space="preserve">Муниципальная  программа "Создание доступной среды жизнедеятельности лицам с ограниченными возможностями здоровья и их социальную интеграцию на 2021-2025 годы". 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398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526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401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141</w:t>
            </w:r>
          </w:p>
        </w:tc>
      </w:tr>
      <w:tr w:rsidR="007B5E1C" w:rsidRPr="007B5E1C" w:rsidTr="007B5E1C">
        <w:trPr>
          <w:trHeight w:val="1129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"Улучшение условий и охраны труда в городском округе Кинель Самарской области на 2019 -2021 годы".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91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54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129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"Улучшение условий и охраны труда в городском округе Кинель Самарской области на 2022 -2024 годы".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8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62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140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lastRenderedPageBreak/>
              <w:t>Муниципальная программа городского округа Кинель Самарской области "Комплексное благоустройство городского округа Кинель на 2014- 2017 годы".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159 287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463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городского округа Кинель Самарской области "Комплексное благоустройство городского округа Кинель Самарской области на 2018- 2024 годы".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150 684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160 089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177 262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183 134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177 349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157 882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183 054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080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 xml:space="preserve">Муниципальная  программа "Нравственно-патриотическое воспитание детей и молодежи на 2013-2017 годы". 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200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440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 xml:space="preserve">Муниципальная  программа "Нравственно-патриотическое воспитание детей и молодежи городского округа Кинель Самарской области на 2018-2022 годы". 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100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791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150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234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235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152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"Формирование современной городской среды  в городском округе Кинель Самарской области на 2017 год"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4 144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200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"Формирование современной городской среды в городском округе Кинель Самарской области на 2018-2024 годы"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5 680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1 939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3 312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14 255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7 840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2 835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2 835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</w:tr>
      <w:tr w:rsidR="007B5E1C" w:rsidRPr="007B5E1C" w:rsidTr="007B5E1C">
        <w:trPr>
          <w:trHeight w:val="1478"/>
        </w:trPr>
        <w:tc>
          <w:tcPr>
            <w:tcW w:w="6800" w:type="dxa"/>
            <w:hideMark/>
          </w:tcPr>
          <w:p w:rsidR="007B5E1C" w:rsidRPr="007B5E1C" w:rsidRDefault="007B5E1C">
            <w:r w:rsidRPr="007B5E1C">
              <w:t>Муниципальная программа городского округа Кинель Самарской области "Переселение граждан из аварийного жилищного фонда, признанного таковым до 1 января 2017 года" до 2025 года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14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 w:rsidP="007B5E1C">
            <w:r w:rsidRPr="007B5E1C">
              <w:t>2 933</w:t>
            </w:r>
          </w:p>
        </w:tc>
        <w:tc>
          <w:tcPr>
            <w:tcW w:w="132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420" w:type="dxa"/>
            <w:noWrap/>
            <w:hideMark/>
          </w:tcPr>
          <w:p w:rsidR="007B5E1C" w:rsidRPr="007B5E1C" w:rsidRDefault="007B5E1C" w:rsidP="007B5E1C">
            <w:r w:rsidRPr="007B5E1C">
              <w:t>8 921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21 557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19 330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 w:rsidP="007B5E1C">
            <w:r w:rsidRPr="007B5E1C">
              <w:t>19 330</w:t>
            </w:r>
          </w:p>
        </w:tc>
      </w:tr>
      <w:tr w:rsidR="007B5E1C" w:rsidRPr="007B5E1C" w:rsidTr="007B5E1C">
        <w:trPr>
          <w:trHeight w:val="300"/>
        </w:trPr>
        <w:tc>
          <w:tcPr>
            <w:tcW w:w="9080" w:type="dxa"/>
            <w:gridSpan w:val="3"/>
            <w:noWrap/>
            <w:hideMark/>
          </w:tcPr>
          <w:p w:rsidR="007B5E1C" w:rsidRPr="007B5E1C" w:rsidRDefault="007B5E1C">
            <w:r w:rsidRPr="007B5E1C">
              <w:t xml:space="preserve">* За счет средств бюджета городского округа Кинель без учета </w:t>
            </w:r>
            <w:r w:rsidRPr="007B5E1C">
              <w:lastRenderedPageBreak/>
              <w:t>безвозмездных поступлений</w:t>
            </w:r>
          </w:p>
        </w:tc>
        <w:tc>
          <w:tcPr>
            <w:tcW w:w="1260" w:type="dxa"/>
            <w:noWrap/>
            <w:hideMark/>
          </w:tcPr>
          <w:p w:rsidR="007B5E1C" w:rsidRPr="007B5E1C" w:rsidRDefault="007B5E1C"/>
        </w:tc>
        <w:tc>
          <w:tcPr>
            <w:tcW w:w="1320" w:type="dxa"/>
            <w:noWrap/>
            <w:hideMark/>
          </w:tcPr>
          <w:p w:rsidR="007B5E1C" w:rsidRPr="007B5E1C" w:rsidRDefault="007B5E1C"/>
        </w:tc>
        <w:tc>
          <w:tcPr>
            <w:tcW w:w="1420" w:type="dxa"/>
            <w:noWrap/>
            <w:hideMark/>
          </w:tcPr>
          <w:p w:rsidR="007B5E1C" w:rsidRPr="007B5E1C" w:rsidRDefault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>
            <w:r w:rsidRPr="007B5E1C">
              <w:t> </w:t>
            </w:r>
          </w:p>
        </w:tc>
        <w:tc>
          <w:tcPr>
            <w:tcW w:w="1300" w:type="dxa"/>
            <w:noWrap/>
            <w:hideMark/>
          </w:tcPr>
          <w:p w:rsidR="007B5E1C" w:rsidRPr="007B5E1C" w:rsidRDefault="007B5E1C"/>
        </w:tc>
        <w:tc>
          <w:tcPr>
            <w:tcW w:w="1300" w:type="dxa"/>
            <w:noWrap/>
            <w:hideMark/>
          </w:tcPr>
          <w:p w:rsidR="007B5E1C" w:rsidRPr="007B5E1C" w:rsidRDefault="007B5E1C"/>
        </w:tc>
      </w:tr>
    </w:tbl>
    <w:p w:rsidR="007B5E1C" w:rsidRDefault="007B5E1C">
      <w:bookmarkStart w:id="0" w:name="_GoBack"/>
      <w:bookmarkEnd w:id="0"/>
    </w:p>
    <w:sectPr w:rsidR="007B5E1C" w:rsidSect="007B5E1C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E1C"/>
    <w:rsid w:val="007B5E1C"/>
    <w:rsid w:val="00E1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5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5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6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1838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Natali</cp:lastModifiedBy>
  <cp:revision>1</cp:revision>
  <dcterms:created xsi:type="dcterms:W3CDTF">2022-01-20T09:28:00Z</dcterms:created>
  <dcterms:modified xsi:type="dcterms:W3CDTF">2022-01-20T09:29:00Z</dcterms:modified>
</cp:coreProperties>
</file>