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B74753" w:rsidRPr="00462590" w:rsidTr="00C868F7">
        <w:trPr>
          <w:trHeight w:val="2340"/>
        </w:trPr>
        <w:tc>
          <w:tcPr>
            <w:tcW w:w="4876" w:type="dxa"/>
            <w:gridSpan w:val="5"/>
          </w:tcPr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62590">
              <w:rPr>
                <w:sz w:val="18"/>
                <w:szCs w:val="20"/>
              </w:rPr>
              <w:t>Российская Федерация</w:t>
            </w: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462590">
              <w:rPr>
                <w:sz w:val="18"/>
                <w:szCs w:val="20"/>
              </w:rPr>
              <w:t>Самарская область</w:t>
            </w: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462590">
              <w:rPr>
                <w:sz w:val="22"/>
                <w:szCs w:val="20"/>
              </w:rPr>
              <w:t>АДМИНИСТРАЦИЯ</w:t>
            </w: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462590">
              <w:rPr>
                <w:sz w:val="22"/>
                <w:szCs w:val="20"/>
              </w:rPr>
              <w:t>городского округа Кинель</w:t>
            </w: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B74753" w:rsidRPr="00462590" w:rsidRDefault="00B74753" w:rsidP="00C868F7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462590">
              <w:rPr>
                <w:b/>
                <w:sz w:val="32"/>
                <w:szCs w:val="20"/>
              </w:rPr>
              <w:t>ПОСТАНОВЛЕНИЕ</w:t>
            </w:r>
          </w:p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B74753" w:rsidRPr="00462590" w:rsidRDefault="00B74753" w:rsidP="00C868F7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B74753" w:rsidRPr="00462590" w:rsidTr="00C868F7">
        <w:trPr>
          <w:trHeight w:val="345"/>
        </w:trPr>
        <w:tc>
          <w:tcPr>
            <w:tcW w:w="906" w:type="dxa"/>
            <w:vAlign w:val="bottom"/>
          </w:tcPr>
          <w:p w:rsidR="00B74753" w:rsidRPr="00462590" w:rsidRDefault="00B74753" w:rsidP="00C868F7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462590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74753" w:rsidRPr="00462590" w:rsidRDefault="00B74753" w:rsidP="00C868F7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462590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B74753" w:rsidRPr="00462590" w:rsidRDefault="00B74753" w:rsidP="00C868F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74753" w:rsidRPr="00462590" w:rsidRDefault="00B74753" w:rsidP="00C868F7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B74753" w:rsidRPr="00462590" w:rsidTr="00C868F7">
        <w:trPr>
          <w:trHeight w:val="365"/>
        </w:trPr>
        <w:tc>
          <w:tcPr>
            <w:tcW w:w="4876" w:type="dxa"/>
            <w:gridSpan w:val="5"/>
          </w:tcPr>
          <w:p w:rsidR="00B74753" w:rsidRPr="00462590" w:rsidRDefault="00B74753" w:rsidP="00C868F7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B74753" w:rsidRPr="00462590" w:rsidRDefault="00B74753" w:rsidP="00C868F7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B74753" w:rsidRPr="00462590" w:rsidTr="00C868F7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B74753" w:rsidRPr="00462590" w:rsidRDefault="00B74753" w:rsidP="00C868F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62590">
              <w:rPr>
                <w:sz w:val="28"/>
                <w:szCs w:val="22"/>
              </w:rPr>
              <w:t xml:space="preserve">         О внесении изменений в постановление  администрации городского округа Кинель Самарской области от 3 марта 2020 года № 612 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</w:t>
            </w:r>
            <w:r w:rsidRPr="00462590">
              <w:rPr>
                <w:sz w:val="28"/>
                <w:szCs w:val="28"/>
              </w:rPr>
              <w:t xml:space="preserve"> городского округа Кинель Самарской области, замещение которых связано с коррупционными рисками, </w:t>
            </w:r>
            <w:r w:rsidRPr="00462590">
              <w:rPr>
                <w:sz w:val="28"/>
                <w:szCs w:val="22"/>
              </w:rPr>
              <w:t xml:space="preserve"> и перечня  должностей Администрации</w:t>
            </w:r>
            <w:r w:rsidRPr="00462590">
              <w:rPr>
                <w:sz w:val="28"/>
                <w:szCs w:val="28"/>
              </w:rPr>
              <w:t xml:space="preserve"> городского округа Кинель Самарской области</w:t>
            </w:r>
            <w:r w:rsidRPr="00462590">
              <w:rPr>
                <w:sz w:val="28"/>
                <w:szCs w:val="22"/>
              </w:rPr>
              <w:t xml:space="preserve">, не отнесенных к муниципальной службе, </w:t>
            </w:r>
            <w:r w:rsidRPr="00462590">
              <w:rPr>
                <w:sz w:val="28"/>
                <w:szCs w:val="28"/>
              </w:rPr>
              <w:t xml:space="preserve">замещение которых связано с коррупционными рисками» (в редакции от </w:t>
            </w:r>
            <w:r>
              <w:rPr>
                <w:sz w:val="28"/>
                <w:szCs w:val="28"/>
              </w:rPr>
              <w:t>23 сентября</w:t>
            </w:r>
            <w:r w:rsidRPr="00462590">
              <w:rPr>
                <w:sz w:val="28"/>
                <w:szCs w:val="28"/>
              </w:rPr>
              <w:t xml:space="preserve"> 2022 года)</w:t>
            </w:r>
          </w:p>
          <w:p w:rsidR="00B74753" w:rsidRPr="00462590" w:rsidRDefault="00B74753" w:rsidP="00C868F7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B74753" w:rsidRDefault="00B74753" w:rsidP="00B74753">
      <w:pPr>
        <w:ind w:firstLine="708"/>
        <w:rPr>
          <w:sz w:val="28"/>
          <w:szCs w:val="28"/>
        </w:rPr>
      </w:pPr>
      <w:r w:rsidRPr="00462590">
        <w:rPr>
          <w:sz w:val="28"/>
          <w:szCs w:val="28"/>
        </w:rPr>
        <w:t xml:space="preserve"> </w:t>
      </w:r>
      <w:bookmarkStart w:id="0" w:name="_GoBack"/>
      <w:bookmarkEnd w:id="0"/>
    </w:p>
    <w:p w:rsidR="00B74753" w:rsidRPr="00462590" w:rsidRDefault="00B74753" w:rsidP="00B74753">
      <w:pPr>
        <w:ind w:firstLine="708"/>
        <w:rPr>
          <w:sz w:val="28"/>
          <w:szCs w:val="28"/>
        </w:rPr>
      </w:pPr>
      <w:r w:rsidRPr="00462590">
        <w:rPr>
          <w:sz w:val="28"/>
          <w:szCs w:val="28"/>
        </w:rPr>
        <w:t xml:space="preserve">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</w:t>
      </w:r>
      <w:r>
        <w:rPr>
          <w:sz w:val="28"/>
          <w:szCs w:val="28"/>
        </w:rPr>
        <w:t xml:space="preserve">13 февраля </w:t>
      </w:r>
      <w:r w:rsidRPr="0046259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62590">
        <w:rPr>
          <w:sz w:val="28"/>
          <w:szCs w:val="28"/>
        </w:rPr>
        <w:t xml:space="preserve"> года, в связи с произошедшими изменениями в штатном расписании</w:t>
      </w:r>
    </w:p>
    <w:p w:rsidR="00B74753" w:rsidRPr="00462590" w:rsidRDefault="00B74753" w:rsidP="00B74753">
      <w:pPr>
        <w:ind w:firstLine="540"/>
        <w:jc w:val="center"/>
        <w:rPr>
          <w:sz w:val="28"/>
          <w:szCs w:val="28"/>
        </w:rPr>
      </w:pPr>
      <w:r w:rsidRPr="00462590">
        <w:rPr>
          <w:sz w:val="28"/>
          <w:szCs w:val="28"/>
        </w:rPr>
        <w:t>П О С Т А Н О В Л Я Ю:</w:t>
      </w:r>
    </w:p>
    <w:p w:rsidR="00B74753" w:rsidRPr="00462590" w:rsidRDefault="00B74753" w:rsidP="00B74753">
      <w:pPr>
        <w:tabs>
          <w:tab w:val="left" w:pos="851"/>
        </w:tabs>
        <w:ind w:right="-1" w:firstLine="700"/>
        <w:rPr>
          <w:sz w:val="28"/>
          <w:szCs w:val="28"/>
        </w:rPr>
      </w:pPr>
      <w:r w:rsidRPr="00462590">
        <w:rPr>
          <w:sz w:val="28"/>
          <w:szCs w:val="28"/>
        </w:rPr>
        <w:t>1. Внести в постановление администрации городского округа Кинель Самарской области от 3 марта 2020 года № 612</w:t>
      </w:r>
      <w:r>
        <w:rPr>
          <w:sz w:val="28"/>
          <w:szCs w:val="28"/>
        </w:rPr>
        <w:t xml:space="preserve"> </w:t>
      </w:r>
      <w:r w:rsidRPr="00462590">
        <w:rPr>
          <w:sz w:val="28"/>
          <w:szCs w:val="28"/>
        </w:rPr>
        <w:t xml:space="preserve"> «Об утверждении перечня</w:t>
      </w:r>
      <w:r>
        <w:rPr>
          <w:sz w:val="28"/>
          <w:szCs w:val="28"/>
        </w:rPr>
        <w:t xml:space="preserve"> </w:t>
      </w:r>
      <w:r w:rsidRPr="00462590">
        <w:rPr>
          <w:sz w:val="28"/>
          <w:szCs w:val="28"/>
        </w:rPr>
        <w:t>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 службы Администрации городского округа Кинель Самарской области, замещение которых связано с коррупционными рисками, и перечня 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</w:t>
      </w:r>
      <w:r w:rsidRPr="00163D4C">
        <w:rPr>
          <w:sz w:val="28"/>
          <w:szCs w:val="28"/>
        </w:rPr>
        <w:t xml:space="preserve"> (в редакции от 23 сентября 202</w:t>
      </w:r>
      <w:r>
        <w:rPr>
          <w:sz w:val="28"/>
          <w:szCs w:val="28"/>
        </w:rPr>
        <w:t>2</w:t>
      </w:r>
      <w:r w:rsidRPr="00163D4C">
        <w:rPr>
          <w:sz w:val="28"/>
          <w:szCs w:val="28"/>
        </w:rPr>
        <w:t xml:space="preserve"> года)</w:t>
      </w:r>
      <w:r w:rsidRPr="00462590">
        <w:rPr>
          <w:sz w:val="28"/>
          <w:szCs w:val="28"/>
        </w:rPr>
        <w:t xml:space="preserve"> (следующие изменения:</w:t>
      </w:r>
    </w:p>
    <w:p w:rsidR="00B74753" w:rsidRPr="00462590" w:rsidRDefault="00B74753" w:rsidP="00B74753">
      <w:pPr>
        <w:numPr>
          <w:ilvl w:val="1"/>
          <w:numId w:val="1"/>
        </w:numPr>
        <w:ind w:right="-2"/>
        <w:rPr>
          <w:sz w:val="28"/>
          <w:szCs w:val="28"/>
        </w:rPr>
      </w:pPr>
      <w:r w:rsidRPr="00462590"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2</w:t>
      </w:r>
      <w:r w:rsidRPr="00462590">
        <w:rPr>
          <w:sz w:val="28"/>
          <w:szCs w:val="28"/>
        </w:rPr>
        <w:t xml:space="preserve"> в таблице:</w:t>
      </w:r>
    </w:p>
    <w:p w:rsidR="00B74753" w:rsidRPr="00462590" w:rsidRDefault="00B74753" w:rsidP="00B74753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 строку</w:t>
      </w:r>
    </w:p>
    <w:p w:rsidR="00B74753" w:rsidRPr="00462590" w:rsidRDefault="00B74753" w:rsidP="00B74753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Руководитель Комитета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отдела- главный бухгалтер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2 категории -делопроизводитель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распоряжения муниципальным имуществом</w:t>
            </w:r>
          </w:p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имущественных отношений</w:t>
            </w:r>
          </w:p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B74753" w:rsidRPr="00462590" w:rsidRDefault="00B74753" w:rsidP="00B74753">
      <w:pPr>
        <w:spacing w:line="168" w:lineRule="auto"/>
        <w:ind w:left="777" w:right="-284" w:firstLine="0"/>
        <w:jc w:val="right"/>
        <w:rPr>
          <w:sz w:val="28"/>
          <w:szCs w:val="28"/>
        </w:rPr>
      </w:pPr>
      <w:r w:rsidRPr="0046259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74753" w:rsidRPr="00462590" w:rsidRDefault="00B74753" w:rsidP="00B74753">
      <w:pPr>
        <w:ind w:right="-2" w:firstLine="0"/>
        <w:rPr>
          <w:sz w:val="28"/>
          <w:szCs w:val="28"/>
        </w:rPr>
      </w:pPr>
      <w:r w:rsidRPr="00462590">
        <w:rPr>
          <w:sz w:val="28"/>
          <w:szCs w:val="28"/>
        </w:rPr>
        <w:t>заменить строкой</w:t>
      </w:r>
    </w:p>
    <w:p w:rsidR="00B74753" w:rsidRPr="00462590" w:rsidRDefault="00B74753" w:rsidP="00B74753">
      <w:pPr>
        <w:spacing w:line="168" w:lineRule="auto"/>
        <w:ind w:hanging="142"/>
        <w:rPr>
          <w:sz w:val="28"/>
          <w:szCs w:val="28"/>
        </w:rPr>
      </w:pPr>
      <w:r w:rsidRPr="00462590">
        <w:rPr>
          <w:sz w:val="28"/>
          <w:szCs w:val="28"/>
        </w:rPr>
        <w:t>«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3171"/>
        <w:gridCol w:w="4909"/>
      </w:tblGrid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Руководитель Комитета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бухгалтерского учета, отчетности и администрирования доходов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отдела- главный бухгалтер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1</w:t>
            </w:r>
            <w:r w:rsidRPr="00462590">
              <w:rPr>
                <w:sz w:val="20"/>
                <w:szCs w:val="20"/>
              </w:rPr>
              <w:t xml:space="preserve"> категории -</w:t>
            </w:r>
            <w:r>
              <w:rPr>
                <w:sz w:val="20"/>
                <w:szCs w:val="20"/>
              </w:rPr>
              <w:t xml:space="preserve"> </w:t>
            </w:r>
            <w:r w:rsidRPr="00462590">
              <w:rPr>
                <w:sz w:val="20"/>
                <w:szCs w:val="20"/>
              </w:rPr>
              <w:t>делопроизводитель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  <w:r w:rsidRPr="00462590">
              <w:rPr>
                <w:sz w:val="20"/>
                <w:szCs w:val="20"/>
              </w:rPr>
              <w:t>отдел распоряжения муниципальным имуществом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Специалист 1 категории отдела распоряжения муниципальным имуществом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отдел имущественных отношений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Начальник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Ведущий специалист отдела имущественных отношений</w:t>
            </w:r>
          </w:p>
        </w:tc>
      </w:tr>
      <w:tr w:rsidR="00B74753" w:rsidRPr="00462590" w:rsidTr="00C868F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53" w:rsidRPr="00462590" w:rsidRDefault="00B74753" w:rsidP="00C868F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firstLine="0"/>
              <w:rPr>
                <w:sz w:val="20"/>
                <w:szCs w:val="20"/>
              </w:rPr>
            </w:pPr>
            <w:r w:rsidRPr="00462590">
              <w:rPr>
                <w:sz w:val="20"/>
                <w:szCs w:val="20"/>
              </w:rPr>
              <w:t>Главный специалист по земельным вопросам</w:t>
            </w:r>
          </w:p>
        </w:tc>
      </w:tr>
    </w:tbl>
    <w:p w:rsidR="00B74753" w:rsidRPr="00462590" w:rsidRDefault="00B74753" w:rsidP="00B74753">
      <w:pPr>
        <w:spacing w:line="168" w:lineRule="auto"/>
        <w:ind w:left="-142" w:firstLine="0"/>
        <w:rPr>
          <w:sz w:val="28"/>
          <w:szCs w:val="28"/>
        </w:rPr>
      </w:pPr>
    </w:p>
    <w:p w:rsidR="00B74753" w:rsidRDefault="00B74753" w:rsidP="00B74753">
      <w:pPr>
        <w:spacing w:line="12" w:lineRule="atLeast"/>
        <w:ind w:left="777" w:right="-284" w:firstLine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74753" w:rsidRPr="008F6DE6" w:rsidRDefault="00B74753" w:rsidP="00B74753">
      <w:pPr>
        <w:spacing w:line="168" w:lineRule="auto"/>
        <w:ind w:hanging="142"/>
        <w:rPr>
          <w:sz w:val="28"/>
          <w:szCs w:val="28"/>
        </w:rPr>
      </w:pPr>
    </w:p>
    <w:p w:rsidR="00B74753" w:rsidRPr="00462590" w:rsidRDefault="00B74753" w:rsidP="00B74753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2. Официально опубликовать настоящее постановление.</w:t>
      </w:r>
    </w:p>
    <w:p w:rsidR="00B74753" w:rsidRPr="00462590" w:rsidRDefault="00B74753" w:rsidP="00B74753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B74753" w:rsidRPr="00462590" w:rsidRDefault="00B74753" w:rsidP="00B74753">
      <w:pPr>
        <w:ind w:firstLine="720"/>
        <w:rPr>
          <w:sz w:val="28"/>
          <w:szCs w:val="28"/>
        </w:rPr>
      </w:pPr>
      <w:r w:rsidRPr="00462590">
        <w:rPr>
          <w:sz w:val="28"/>
          <w:szCs w:val="28"/>
        </w:rPr>
        <w:t>4. Контроль за выполнением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B74753" w:rsidRPr="00462590" w:rsidRDefault="00B74753" w:rsidP="00B74753">
      <w:pPr>
        <w:ind w:firstLine="72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Pr="00462590" w:rsidRDefault="00B74753" w:rsidP="00B74753">
      <w:pPr>
        <w:ind w:firstLine="0"/>
        <w:rPr>
          <w:sz w:val="28"/>
          <w:szCs w:val="28"/>
        </w:rPr>
      </w:pPr>
      <w:r w:rsidRPr="00462590">
        <w:rPr>
          <w:sz w:val="28"/>
          <w:szCs w:val="28"/>
        </w:rPr>
        <w:t>Глава городского округа                                                                       А.А.Прокудин</w:t>
      </w: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Default="00B74753" w:rsidP="00B74753">
      <w:pPr>
        <w:ind w:firstLine="0"/>
        <w:rPr>
          <w:sz w:val="28"/>
          <w:szCs w:val="28"/>
        </w:rPr>
      </w:pPr>
    </w:p>
    <w:p w:rsidR="00B74753" w:rsidRPr="00462590" w:rsidRDefault="00B74753" w:rsidP="00B74753">
      <w:pPr>
        <w:ind w:firstLine="0"/>
        <w:rPr>
          <w:sz w:val="28"/>
          <w:szCs w:val="28"/>
        </w:rPr>
      </w:pPr>
    </w:p>
    <w:p w:rsidR="00B74753" w:rsidRPr="00462590" w:rsidRDefault="00B74753" w:rsidP="00B74753">
      <w:pPr>
        <w:ind w:firstLine="0"/>
        <w:rPr>
          <w:sz w:val="28"/>
          <w:szCs w:val="28"/>
        </w:rPr>
      </w:pPr>
      <w:r w:rsidRPr="00462590">
        <w:rPr>
          <w:sz w:val="28"/>
          <w:szCs w:val="28"/>
        </w:rPr>
        <w:t xml:space="preserve">Архимандритова </w:t>
      </w:r>
      <w:r>
        <w:rPr>
          <w:sz w:val="28"/>
          <w:szCs w:val="28"/>
        </w:rPr>
        <w:t>63840</w:t>
      </w:r>
    </w:p>
    <w:p w:rsidR="00B74753" w:rsidRDefault="00B74753" w:rsidP="00B74753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B74753" w:rsidRDefault="00B74753" w:rsidP="00B74753">
      <w:pPr>
        <w:pStyle w:val="NoSpacing"/>
        <w:spacing w:line="360" w:lineRule="auto"/>
        <w:ind w:firstLine="0"/>
        <w:rPr>
          <w:rStyle w:val="a3"/>
          <w:bCs w:val="0"/>
        </w:rPr>
      </w:pPr>
    </w:p>
    <w:p w:rsidR="004A35EA" w:rsidRDefault="004A35EA"/>
    <w:sectPr w:rsidR="004A35EA" w:rsidSect="00894633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40E6"/>
    <w:multiLevelType w:val="multilevel"/>
    <w:tmpl w:val="1158C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E"/>
    <w:rsid w:val="004A35EA"/>
    <w:rsid w:val="00746FDE"/>
    <w:rsid w:val="00B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5247-506C-4881-A0C1-7DD328C9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4753"/>
    <w:rPr>
      <w:b/>
      <w:bCs/>
      <w:color w:val="26282F"/>
      <w:sz w:val="26"/>
      <w:szCs w:val="26"/>
    </w:rPr>
  </w:style>
  <w:style w:type="paragraph" w:customStyle="1" w:styleId="NoSpacing">
    <w:name w:val="No Spacing"/>
    <w:rsid w:val="00B7475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2023-02-17T06:12:00Z</dcterms:created>
  <dcterms:modified xsi:type="dcterms:W3CDTF">2023-02-17T06:12:00Z</dcterms:modified>
</cp:coreProperties>
</file>